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16BAF" w14:textId="4A2C858C" w:rsidR="00737DAF" w:rsidRPr="001117F1" w:rsidRDefault="009C6070" w:rsidP="0065020F">
      <w:pPr>
        <w:jc w:val="center"/>
        <w:rPr>
          <w:rFonts w:cs="Times New Roman"/>
          <w:b/>
          <w:smallCaps/>
          <w:szCs w:val="24"/>
        </w:rPr>
      </w:pPr>
      <w:bookmarkStart w:id="0" w:name="_GoBack"/>
      <w:bookmarkEnd w:id="0"/>
      <w:r>
        <w:rPr>
          <w:rFonts w:cs="Times New Roman"/>
          <w:b/>
          <w:smallCaps/>
          <w:szCs w:val="24"/>
        </w:rPr>
        <w:t>The Criminal Jury, Nullification, and Open Governance</w:t>
      </w:r>
    </w:p>
    <w:p w14:paraId="5EACE0BB" w14:textId="77777777" w:rsidR="00737DAF" w:rsidRDefault="00737DAF" w:rsidP="0065020F">
      <w:pPr>
        <w:jc w:val="center"/>
        <w:rPr>
          <w:rFonts w:cs="Times New Roman"/>
          <w:szCs w:val="24"/>
        </w:rPr>
      </w:pPr>
      <w:r w:rsidRPr="001117F1">
        <w:rPr>
          <w:rFonts w:cs="Times New Roman"/>
          <w:i/>
          <w:szCs w:val="24"/>
        </w:rPr>
        <w:t>Jenny E. Carroll</w:t>
      </w:r>
      <w:r>
        <w:rPr>
          <w:rStyle w:val="Appelnotedebasdep"/>
          <w:rFonts w:cs="Times New Roman"/>
          <w:szCs w:val="24"/>
        </w:rPr>
        <w:footnoteReference w:customMarkFollows="1" w:id="1"/>
        <w:t>*</w:t>
      </w:r>
    </w:p>
    <w:p w14:paraId="29363CB4" w14:textId="77777777" w:rsidR="00D450E0" w:rsidRDefault="00D450E0" w:rsidP="00D63F43">
      <w:pPr>
        <w:ind w:firstLine="720"/>
        <w:jc w:val="center"/>
        <w:rPr>
          <w:rFonts w:cs="Times New Roman"/>
          <w:szCs w:val="24"/>
        </w:rPr>
      </w:pPr>
    </w:p>
    <w:p w14:paraId="20C385E8" w14:textId="77777777" w:rsidR="00D63F43" w:rsidRPr="00D450E0" w:rsidRDefault="00D63F43" w:rsidP="00D450E0">
      <w:pPr>
        <w:jc w:val="center"/>
        <w:rPr>
          <w:rFonts w:cs="Times New Roman"/>
          <w:smallCaps/>
          <w:szCs w:val="24"/>
        </w:rPr>
      </w:pPr>
      <w:r w:rsidRPr="00D450E0">
        <w:rPr>
          <w:rFonts w:cs="Times New Roman"/>
          <w:smallCaps/>
          <w:szCs w:val="24"/>
        </w:rPr>
        <w:t>Abstract</w:t>
      </w:r>
    </w:p>
    <w:p w14:paraId="556742E0" w14:textId="290C2F24" w:rsidR="00D8145D" w:rsidRDefault="009C6070" w:rsidP="00D8145D">
      <w:r>
        <w:tab/>
      </w:r>
      <w:r w:rsidR="00D8145D">
        <w:t>In any government there are different corridors of power.  Some are occupied by formal decision makers – elected or appointed – who construct, enforce, and interpret law in an “official” capacity; others by less formal power brokers.  Lately in the United States and elsewhere, there has been much debate about the continued failures of official actors.  In the United States infighting among formal actors has seemed to descend into an inevitable and dizzying cacophony of partisanship and allegiance to specialized interest.  In the wake of this dysfunction, citizen movements have decried the ever-increasing distance between the formalized space of government and the “people”.  Citizens have taken to the streets to protest and to “occupy” more formal corridors of power; private citizen actors have spirited secret government data-collection protocols to online sources; they have landed helicopters on the capitol lawn – all in the name of reclaiming the government and more formal chambers of power.  To speak of open government is therefore to speak of a reclamation of the formal spaces of governance.</w:t>
      </w:r>
    </w:p>
    <w:p w14:paraId="757D6390" w14:textId="77777777" w:rsidR="00D8145D" w:rsidRDefault="00D8145D" w:rsidP="00D8145D">
      <w:pPr>
        <w:ind w:firstLine="720"/>
      </w:pPr>
      <w:r>
        <w:t>But in this movement to open government, the quieter corridors of power have often been overlooked.  These other spaces of governance are occupied by the citizens themselves, in venues where their lives bump against formal law and lawmaking.  In these small empires, the citizen participates in governance and the construction of law itself.  From voting to boycott to jury nullification, citizens can and do claim spaces in which they can assert their views unfiltered (or relatively unfiltered) by larger power structures.  One of the most powerful of these small realms is the criminal jury box.</w:t>
      </w:r>
    </w:p>
    <w:p w14:paraId="6661837F" w14:textId="77777777" w:rsidR="00D8145D" w:rsidRDefault="00D8145D" w:rsidP="00D8145D">
      <w:pPr>
        <w:ind w:firstLine="720"/>
      </w:pPr>
      <w:r>
        <w:t xml:space="preserve">Citizen jurors in criminal cases are in a unique position to assess the legitimacy of the government’s exercise of power at the moment its power directly touches a fellow citizen – the criminal defendant.  To recognize this reality is to recognize that jurors serve a greater role than mere fact finders – they serve as legal interpreters, instilling a community-based interpretation of the law in their verdict.  Whether determining an appropriate charge as a grand juror or guilt as a petit juror, jurors push for an expansion of governance that encompasses not only formal spheres of power but also less formal </w:t>
      </w:r>
      <w:r>
        <w:lastRenderedPageBreak/>
        <w:t>ones in the form of direct citizen governance.  As such, juries serve as a vital, and oft overlooked, mechanism of open government – forcing a transparency and power-sharing between formal and informal constructs and collaboration among the citizens serving as jurors to reach a verdict.</w:t>
      </w:r>
    </w:p>
    <w:p w14:paraId="45FE8676" w14:textId="77777777" w:rsidR="00D8145D" w:rsidRDefault="00D8145D" w:rsidP="00D8145D">
      <w:r>
        <w:tab/>
        <w:t>This system is not without its failings: the obscurity of jury selection and deliberation; the controlled universe of information shared with the jury as evidence, argument, and jury instruction; the secrecy shrouding the basis of the subsequent verdict.  All of these might counsel against characterizing the jury as a mechanism of open governance (and might explain why no one else is talking about it in the context of the open government conversation).  But this hesitation takes a myopic view of the jury’s role and composition.  It overlooks and undervalues the fundamental nature of the jury as a body of citizen actors weighing power and the meaning of the government’s power.  Whatever shortcomings it possesses counsel toward an alteration of the process surrounding jury construction and deliberation, not the rejection of it as a body of open governance.</w:t>
      </w:r>
    </w:p>
    <w:p w14:paraId="50794936" w14:textId="77777777" w:rsidR="00D8145D" w:rsidRDefault="00D8145D" w:rsidP="00D8145D">
      <w:pPr>
        <w:ind w:firstLine="720"/>
      </w:pPr>
      <w:r>
        <w:t>As the open government movement pushes for participation and collaboration in the grander spaces of government, the informal realms of governance may offer an equally significant opportunity to achieve such goals.  This paper explores the role of the jury as a citizen decision maker in the open government movement, arguing that in juries may lie one of the greatest opportunities for meaningful citizen participation in governance.</w:t>
      </w:r>
    </w:p>
    <w:p w14:paraId="1367A4E5" w14:textId="41FD9C65" w:rsidR="00D63F43" w:rsidRPr="009C6070" w:rsidRDefault="00162C10" w:rsidP="009C6070">
      <w:r>
        <w:rPr>
          <w:rFonts w:cs="Times New Roman"/>
          <w:szCs w:val="24"/>
        </w:rPr>
        <w:br w:type="page"/>
      </w:r>
    </w:p>
    <w:p w14:paraId="0A2D8EDB" w14:textId="77777777" w:rsidR="00D63F43" w:rsidRPr="00162C10" w:rsidRDefault="00D63F43" w:rsidP="00162C10">
      <w:pPr>
        <w:pStyle w:val="NoNumbHeading1"/>
      </w:pPr>
      <w:bookmarkStart w:id="1" w:name="_Toc364970540"/>
      <w:r w:rsidRPr="00162C10">
        <w:lastRenderedPageBreak/>
        <w:t>Introduction</w:t>
      </w:r>
      <w:bookmarkEnd w:id="1"/>
    </w:p>
    <w:p w14:paraId="10CE1ABD" w14:textId="54A198AF" w:rsidR="00E12556" w:rsidRDefault="007A1348" w:rsidP="00E12556">
      <w:pPr>
        <w:ind w:firstLine="720"/>
        <w:rPr>
          <w:rFonts w:cs="Times New Roman"/>
          <w:szCs w:val="24"/>
        </w:rPr>
      </w:pPr>
      <w:r>
        <w:rPr>
          <w:rFonts w:cs="Times New Roman"/>
          <w:szCs w:val="24"/>
        </w:rPr>
        <w:t>The movement towards open governance has encouraged not only transparency, but direct citizen participation in government.  In reality, however</w:t>
      </w:r>
      <w:r w:rsidR="00E85418">
        <w:rPr>
          <w:rFonts w:cs="Times New Roman"/>
          <w:szCs w:val="24"/>
        </w:rPr>
        <w:t xml:space="preserve"> large swaths of the </w:t>
      </w:r>
      <w:r w:rsidR="00E12556">
        <w:rPr>
          <w:rFonts w:cs="Times New Roman"/>
          <w:szCs w:val="24"/>
        </w:rPr>
        <w:t>actual e</w:t>
      </w:r>
      <w:r w:rsidR="00E85418">
        <w:rPr>
          <w:rFonts w:cs="Times New Roman"/>
          <w:szCs w:val="24"/>
        </w:rPr>
        <w:t>xperience</w:t>
      </w:r>
      <w:r w:rsidR="00B5573B">
        <w:rPr>
          <w:rFonts w:cs="Times New Roman"/>
          <w:szCs w:val="24"/>
        </w:rPr>
        <w:t xml:space="preserve"> </w:t>
      </w:r>
      <w:r w:rsidR="00E12556">
        <w:rPr>
          <w:rFonts w:cs="Times New Roman"/>
          <w:szCs w:val="24"/>
        </w:rPr>
        <w:t>of governance</w:t>
      </w:r>
      <w:r w:rsidR="006821DB">
        <w:rPr>
          <w:rFonts w:cs="Times New Roman"/>
          <w:szCs w:val="24"/>
        </w:rPr>
        <w:t xml:space="preserve"> and</w:t>
      </w:r>
      <w:r w:rsidR="00E12556">
        <w:rPr>
          <w:rFonts w:cs="Times New Roman"/>
          <w:szCs w:val="24"/>
        </w:rPr>
        <w:t xml:space="preserve"> </w:t>
      </w:r>
      <w:r w:rsidR="00954AB4">
        <w:rPr>
          <w:rFonts w:cs="Times New Roman"/>
          <w:szCs w:val="24"/>
        </w:rPr>
        <w:t>law-making</w:t>
      </w:r>
      <w:r w:rsidR="00E12556">
        <w:rPr>
          <w:rFonts w:cs="Times New Roman"/>
          <w:szCs w:val="24"/>
        </w:rPr>
        <w:t xml:space="preserve"> </w:t>
      </w:r>
      <w:r w:rsidR="00B5573B">
        <w:rPr>
          <w:rFonts w:cs="Times New Roman"/>
          <w:szCs w:val="24"/>
        </w:rPr>
        <w:t>unaccounted for</w:t>
      </w:r>
      <w:r w:rsidR="00E12556">
        <w:rPr>
          <w:rFonts w:cs="Times New Roman"/>
          <w:szCs w:val="24"/>
        </w:rPr>
        <w:t xml:space="preserve">.  </w:t>
      </w:r>
      <w:r>
        <w:rPr>
          <w:rFonts w:cs="Times New Roman"/>
          <w:szCs w:val="24"/>
        </w:rPr>
        <w:t xml:space="preserve">Even as notions of governance have evolved, they seem to hover around an underlying notion that there is a </w:t>
      </w:r>
      <w:r w:rsidR="00E12556">
        <w:rPr>
          <w:rFonts w:cs="Times New Roman"/>
          <w:szCs w:val="24"/>
        </w:rPr>
        <w:t>separation between those who make laws and those to whom the law is applied.  To the extent that there is overlap in these realm</w:t>
      </w:r>
      <w:r w:rsidR="004D1DF6">
        <w:rPr>
          <w:rFonts w:cs="Times New Roman"/>
          <w:szCs w:val="24"/>
        </w:rPr>
        <w:t>s</w:t>
      </w:r>
      <w:r w:rsidR="00E12556">
        <w:rPr>
          <w:rFonts w:cs="Times New Roman"/>
          <w:szCs w:val="24"/>
        </w:rPr>
        <w:t xml:space="preserve">, it is that those who occupy the formal spaces </w:t>
      </w:r>
      <w:r w:rsidR="00360DA5">
        <w:rPr>
          <w:rFonts w:cs="Times New Roman"/>
          <w:szCs w:val="24"/>
        </w:rPr>
        <w:t xml:space="preserve">where </w:t>
      </w:r>
      <w:r w:rsidR="00E12556">
        <w:rPr>
          <w:rFonts w:cs="Times New Roman"/>
          <w:szCs w:val="24"/>
        </w:rPr>
        <w:t>law is created are also subject to those laws</w:t>
      </w:r>
      <w:r w:rsidR="00360DA5">
        <w:rPr>
          <w:rFonts w:cs="Times New Roman"/>
          <w:szCs w:val="24"/>
        </w:rPr>
        <w:t>.</w:t>
      </w:r>
      <w:r w:rsidR="00E12556">
        <w:rPr>
          <w:rFonts w:cs="Times New Roman"/>
          <w:szCs w:val="24"/>
        </w:rPr>
        <w:t xml:space="preserve"> </w:t>
      </w:r>
      <w:r w:rsidR="00360DA5">
        <w:rPr>
          <w:rFonts w:cs="Times New Roman"/>
          <w:szCs w:val="24"/>
        </w:rPr>
        <w:t xml:space="preserve"> O</w:t>
      </w:r>
      <w:r w:rsidR="00E12556">
        <w:rPr>
          <w:rFonts w:cs="Times New Roman"/>
          <w:szCs w:val="24"/>
        </w:rPr>
        <w:t>rdinary citizens are the recipients, not the creators</w:t>
      </w:r>
      <w:r w:rsidR="00603CB1">
        <w:rPr>
          <w:rFonts w:cs="Times New Roman"/>
          <w:szCs w:val="24"/>
        </w:rPr>
        <w:t>,</w:t>
      </w:r>
      <w:r w:rsidR="00E12556">
        <w:rPr>
          <w:rFonts w:cs="Times New Roman"/>
          <w:szCs w:val="24"/>
        </w:rPr>
        <w:t xml:space="preserve"> of law.  Even as </w:t>
      </w:r>
      <w:r w:rsidR="00F52173">
        <w:rPr>
          <w:rFonts w:cs="Times New Roman"/>
          <w:szCs w:val="24"/>
        </w:rPr>
        <w:t>proponents</w:t>
      </w:r>
      <w:r>
        <w:rPr>
          <w:rFonts w:cs="Times New Roman"/>
          <w:szCs w:val="24"/>
        </w:rPr>
        <w:t xml:space="preserve"> and </w:t>
      </w:r>
      <w:r w:rsidR="00E12556">
        <w:rPr>
          <w:rFonts w:cs="Times New Roman"/>
          <w:szCs w:val="24"/>
        </w:rPr>
        <w:t>theorist</w:t>
      </w:r>
      <w:r w:rsidR="004D1DF6">
        <w:rPr>
          <w:rFonts w:cs="Times New Roman"/>
          <w:szCs w:val="24"/>
        </w:rPr>
        <w:t>s</w:t>
      </w:r>
      <w:r w:rsidR="00E12556">
        <w:rPr>
          <w:rFonts w:cs="Times New Roman"/>
          <w:szCs w:val="24"/>
        </w:rPr>
        <w:t xml:space="preserve"> have recognized that the </w:t>
      </w:r>
      <w:r>
        <w:rPr>
          <w:rFonts w:cs="Times New Roman"/>
          <w:szCs w:val="24"/>
        </w:rPr>
        <w:t xml:space="preserve">call to open governance pushes those in power to </w:t>
      </w:r>
      <w:r w:rsidR="00E12556">
        <w:rPr>
          <w:rFonts w:cs="Times New Roman"/>
          <w:szCs w:val="24"/>
        </w:rPr>
        <w:t xml:space="preserve">account for </w:t>
      </w:r>
      <w:r w:rsidR="00954AB4">
        <w:rPr>
          <w:rFonts w:cs="Times New Roman"/>
          <w:szCs w:val="24"/>
        </w:rPr>
        <w:t>law-making</w:t>
      </w:r>
      <w:r w:rsidR="00E12556">
        <w:rPr>
          <w:rFonts w:cs="Times New Roman"/>
          <w:szCs w:val="24"/>
        </w:rPr>
        <w:t xml:space="preserve"> that occurs through interpretation,</w:t>
      </w:r>
      <w:bookmarkStart w:id="2" w:name="_Ref349381390"/>
      <w:r w:rsidR="00E12556">
        <w:rPr>
          <w:rStyle w:val="Appelnotedebasdep"/>
          <w:rFonts w:cs="Times New Roman"/>
          <w:szCs w:val="24"/>
        </w:rPr>
        <w:footnoteReference w:id="2"/>
      </w:r>
      <w:bookmarkEnd w:id="2"/>
      <w:r w:rsidR="00E12556">
        <w:rPr>
          <w:rFonts w:cs="Times New Roman"/>
          <w:szCs w:val="24"/>
        </w:rPr>
        <w:t xml:space="preserve"> the realm</w:t>
      </w:r>
      <w:r w:rsidR="00355338">
        <w:rPr>
          <w:rFonts w:cs="Times New Roman"/>
          <w:szCs w:val="24"/>
        </w:rPr>
        <w:t xml:space="preserve"> of that interpretation remains </w:t>
      </w:r>
      <w:r w:rsidR="007C0A86">
        <w:rPr>
          <w:rFonts w:cs="Times New Roman"/>
          <w:szCs w:val="24"/>
        </w:rPr>
        <w:t xml:space="preserve">in </w:t>
      </w:r>
      <w:r w:rsidR="00355338">
        <w:rPr>
          <w:rFonts w:cs="Times New Roman"/>
          <w:szCs w:val="24"/>
        </w:rPr>
        <w:t>those narrow spaces of formal governance.  Thus</w:t>
      </w:r>
      <w:r w:rsidR="00694139">
        <w:rPr>
          <w:rFonts w:cs="Times New Roman"/>
          <w:szCs w:val="24"/>
        </w:rPr>
        <w:t>,</w:t>
      </w:r>
      <w:r w:rsidR="00355338">
        <w:rPr>
          <w:rFonts w:cs="Times New Roman"/>
          <w:szCs w:val="24"/>
        </w:rPr>
        <w:t xml:space="preserve"> even among those </w:t>
      </w:r>
      <w:r>
        <w:rPr>
          <w:rFonts w:cs="Times New Roman"/>
          <w:szCs w:val="24"/>
        </w:rPr>
        <w:t>open governance advocates who would move governance aw</w:t>
      </w:r>
      <w:r w:rsidR="00355338">
        <w:rPr>
          <w:rFonts w:cs="Times New Roman"/>
          <w:szCs w:val="24"/>
        </w:rPr>
        <w:t xml:space="preserve">ay from its positivist and formalist roots, the power of </w:t>
      </w:r>
      <w:r w:rsidR="00954AB4">
        <w:rPr>
          <w:rFonts w:cs="Times New Roman"/>
          <w:szCs w:val="24"/>
        </w:rPr>
        <w:t>law-making</w:t>
      </w:r>
      <w:r w:rsidR="00355338">
        <w:rPr>
          <w:rFonts w:cs="Times New Roman"/>
          <w:szCs w:val="24"/>
        </w:rPr>
        <w:t xml:space="preserve"> </w:t>
      </w:r>
      <w:r w:rsidR="008B3345">
        <w:rPr>
          <w:rFonts w:cs="Times New Roman"/>
          <w:szCs w:val="24"/>
        </w:rPr>
        <w:t xml:space="preserve">remains in </w:t>
      </w:r>
      <w:r w:rsidR="007C0A86">
        <w:rPr>
          <w:rFonts w:cs="Times New Roman"/>
          <w:szCs w:val="24"/>
        </w:rPr>
        <w:t>particular and designated</w:t>
      </w:r>
      <w:r w:rsidR="008B3345">
        <w:rPr>
          <w:rFonts w:cs="Times New Roman"/>
          <w:szCs w:val="24"/>
        </w:rPr>
        <w:t xml:space="preserve"> spaces</w:t>
      </w:r>
      <w:r w:rsidR="00355338">
        <w:rPr>
          <w:rFonts w:cs="Times New Roman"/>
          <w:szCs w:val="24"/>
        </w:rPr>
        <w:t>, separated from the very people whom the law would govern.</w:t>
      </w:r>
    </w:p>
    <w:p w14:paraId="4DE47A75" w14:textId="45CF7E16" w:rsidR="007A1348" w:rsidRDefault="0008548E" w:rsidP="0008548E">
      <w:pPr>
        <w:ind w:firstLine="720"/>
        <w:rPr>
          <w:rFonts w:cs="Times New Roman"/>
          <w:szCs w:val="24"/>
        </w:rPr>
      </w:pPr>
      <w:r>
        <w:rPr>
          <w:rFonts w:cs="Times New Roman"/>
          <w:szCs w:val="24"/>
        </w:rPr>
        <w:t xml:space="preserve">Jury nullification is rarely discussed </w:t>
      </w:r>
      <w:r w:rsidR="007A1348">
        <w:rPr>
          <w:rFonts w:cs="Times New Roman"/>
          <w:szCs w:val="24"/>
        </w:rPr>
        <w:t>in the context of open governance movements.</w:t>
      </w:r>
      <w:r>
        <w:rPr>
          <w:rFonts w:cs="Times New Roman"/>
          <w:szCs w:val="24"/>
        </w:rPr>
        <w:t xml:space="preserve"> Nullification, or the possibility that a citizen juror would interpret the law, seems counter to the primary ideals of the </w:t>
      </w:r>
      <w:r w:rsidR="00F52173">
        <w:rPr>
          <w:rFonts w:cs="Times New Roman"/>
          <w:szCs w:val="24"/>
        </w:rPr>
        <w:t>movement’s allegiance</w:t>
      </w:r>
      <w:r w:rsidR="007A1348">
        <w:rPr>
          <w:rFonts w:cs="Times New Roman"/>
          <w:szCs w:val="24"/>
        </w:rPr>
        <w:t xml:space="preserve"> to transparency and order</w:t>
      </w:r>
      <w:r>
        <w:rPr>
          <w:rFonts w:cs="Times New Roman"/>
          <w:szCs w:val="24"/>
        </w:rPr>
        <w:t xml:space="preserve"> – that laws are knowable in advance of any particular case, created and applied in a uniform manner, and there is a separation between the governed and the government</w:t>
      </w:r>
      <w:r w:rsidR="007A1348">
        <w:rPr>
          <w:rFonts w:cs="Times New Roman"/>
          <w:szCs w:val="24"/>
        </w:rPr>
        <w:t xml:space="preserve"> establishes this order, that they are knowable promotes transparency</w:t>
      </w:r>
      <w:r>
        <w:rPr>
          <w:rFonts w:cs="Times New Roman"/>
          <w:szCs w:val="24"/>
        </w:rPr>
        <w:t xml:space="preserve">.  </w:t>
      </w:r>
      <w:r w:rsidR="007A1348">
        <w:rPr>
          <w:rFonts w:cs="Times New Roman"/>
          <w:szCs w:val="24"/>
        </w:rPr>
        <w:t>But this failure to account for jury nullification (or the role of jurors in the open governance movement) is a mistake.  To the extent that traditional models of governance and t</w:t>
      </w:r>
      <w:r>
        <w:rPr>
          <w:rFonts w:cs="Times New Roman"/>
          <w:szCs w:val="24"/>
        </w:rPr>
        <w:t>he rule of law establishes a distant (and from the perspective of the citizen, passive) relationship between the citizen and his government</w:t>
      </w:r>
      <w:r w:rsidR="007A1348">
        <w:rPr>
          <w:rFonts w:cs="Times New Roman"/>
          <w:szCs w:val="24"/>
        </w:rPr>
        <w:t>; n</w:t>
      </w:r>
      <w:r>
        <w:rPr>
          <w:rFonts w:cs="Times New Roman"/>
          <w:szCs w:val="24"/>
        </w:rPr>
        <w:t xml:space="preserve">ullification challenges this relationship.  It opens the possibility that a juror, with no greater qualification than the fact of his citizenry (and his ability to survive the voir dire process) is an appropriate source of law.  The citizen’s role shifts from the law’s passive recipient to the law’s active creator, </w:t>
      </w:r>
      <w:r>
        <w:rPr>
          <w:rFonts w:cs="Times New Roman"/>
          <w:szCs w:val="24"/>
        </w:rPr>
        <w:lastRenderedPageBreak/>
        <w:t xml:space="preserve">through his interpretation and application of the law as juror.  With this shift, a new conception of law is born – one flowing from both formal and informal sources, which includes jurors engaged in nullification.  This conception of law, and </w:t>
      </w:r>
      <w:r w:rsidR="007A1348">
        <w:rPr>
          <w:rFonts w:cs="Times New Roman"/>
          <w:szCs w:val="24"/>
        </w:rPr>
        <w:t xml:space="preserve">governance </w:t>
      </w:r>
      <w:r>
        <w:rPr>
          <w:rFonts w:cs="Times New Roman"/>
          <w:szCs w:val="24"/>
        </w:rPr>
        <w:t xml:space="preserve">under it, is not only a more accurate presentation of law-making in </w:t>
      </w:r>
      <w:r w:rsidR="007A1348">
        <w:rPr>
          <w:rFonts w:cs="Times New Roman"/>
          <w:szCs w:val="24"/>
        </w:rPr>
        <w:t>a</w:t>
      </w:r>
      <w:r>
        <w:rPr>
          <w:rFonts w:cs="Times New Roman"/>
          <w:szCs w:val="24"/>
        </w:rPr>
        <w:t xml:space="preserve"> democracy; </w:t>
      </w:r>
      <w:r w:rsidR="007A1348">
        <w:rPr>
          <w:rFonts w:cs="Times New Roman"/>
          <w:szCs w:val="24"/>
        </w:rPr>
        <w:t>but counter intuitively it supports transparency by directly involving the citizen in the law making process.  Accepting that jurors play a vital role in open governance, recognizes</w:t>
      </w:r>
      <w:r>
        <w:rPr>
          <w:rFonts w:cs="Times New Roman"/>
          <w:szCs w:val="24"/>
        </w:rPr>
        <w:t xml:space="preserve"> that the value of the law is not only in its predictability, but also in its ability to be responsive to the citizen’s own lives and to conform with the citizen’s expectations and understanding of the law.</w:t>
      </w:r>
      <w:r w:rsidR="002C3329">
        <w:rPr>
          <w:rFonts w:cs="Times New Roman"/>
          <w:szCs w:val="24"/>
        </w:rPr>
        <w:t xml:space="preserve"> </w:t>
      </w:r>
    </w:p>
    <w:p w14:paraId="513AC460" w14:textId="6AC78039" w:rsidR="0008548E" w:rsidRPr="00B11D8D" w:rsidRDefault="007A1348" w:rsidP="0008548E">
      <w:pPr>
        <w:ind w:firstLine="720"/>
        <w:rPr>
          <w:rFonts w:cs="Times New Roman"/>
          <w:szCs w:val="24"/>
        </w:rPr>
      </w:pPr>
      <w:r>
        <w:rPr>
          <w:rFonts w:cs="Times New Roman"/>
          <w:szCs w:val="24"/>
        </w:rPr>
        <w:t xml:space="preserve">This paper embraces a vision of open governance that preserves </w:t>
      </w:r>
      <w:r w:rsidR="0008548E">
        <w:rPr>
          <w:rFonts w:cs="Times New Roman"/>
          <w:szCs w:val="24"/>
        </w:rPr>
        <w:t xml:space="preserve">the vital role that mechanisms of direct citizen construction of law, including nullification, can play within </w:t>
      </w:r>
      <w:r>
        <w:rPr>
          <w:rFonts w:cs="Times New Roman"/>
          <w:szCs w:val="24"/>
        </w:rPr>
        <w:t>a system by</w:t>
      </w:r>
      <w:r w:rsidR="0008548E">
        <w:rPr>
          <w:rFonts w:cs="Times New Roman"/>
          <w:szCs w:val="24"/>
        </w:rPr>
        <w:t xml:space="preserve"> preserving notions of justice and law that is truly cognizable to the </w:t>
      </w:r>
      <w:r w:rsidR="008421EC">
        <w:rPr>
          <w:rFonts w:cs="Times New Roman"/>
          <w:szCs w:val="24"/>
        </w:rPr>
        <w:t>citizenry</w:t>
      </w:r>
      <w:r w:rsidR="0008548E" w:rsidRPr="00931A2E">
        <w:rPr>
          <w:rFonts w:cs="Times New Roman"/>
          <w:szCs w:val="24"/>
        </w:rPr>
        <w:t>.</w:t>
      </w:r>
      <w:r w:rsidR="0008548E">
        <w:rPr>
          <w:rFonts w:cs="Times New Roman"/>
          <w:szCs w:val="24"/>
        </w:rPr>
        <w:t xml:space="preserve">  </w:t>
      </w:r>
      <w:r>
        <w:rPr>
          <w:rFonts w:cs="Times New Roman"/>
          <w:szCs w:val="24"/>
        </w:rPr>
        <w:t xml:space="preserve">I reject the limited view that </w:t>
      </w:r>
      <w:r w:rsidR="0008548E">
        <w:rPr>
          <w:rFonts w:cs="Times New Roman"/>
          <w:szCs w:val="24"/>
        </w:rPr>
        <w:t xml:space="preserve">law creation and interpretation </w:t>
      </w:r>
      <w:r>
        <w:rPr>
          <w:rFonts w:cs="Times New Roman"/>
          <w:szCs w:val="24"/>
        </w:rPr>
        <w:t xml:space="preserve">must occur only in </w:t>
      </w:r>
      <w:r w:rsidR="0008548E">
        <w:rPr>
          <w:rFonts w:cs="Times New Roman"/>
          <w:szCs w:val="24"/>
        </w:rPr>
        <w:t>f</w:t>
      </w:r>
      <w:r>
        <w:rPr>
          <w:rFonts w:cs="Times New Roman"/>
          <w:szCs w:val="24"/>
        </w:rPr>
        <w:t xml:space="preserve">ormal realms of government runs and argue that to do so is to </w:t>
      </w:r>
      <w:r w:rsidR="0008548E">
        <w:rPr>
          <w:rFonts w:cs="Times New Roman"/>
          <w:szCs w:val="24"/>
        </w:rPr>
        <w:t xml:space="preserve">risk moving the law further and further away from the citizen’s own sense of what the law </w:t>
      </w:r>
      <w:r w:rsidR="002C3329">
        <w:rPr>
          <w:rFonts w:cs="Times New Roman"/>
          <w:szCs w:val="24"/>
        </w:rPr>
        <w:t xml:space="preserve">is </w:t>
      </w:r>
      <w:r w:rsidR="0008548E">
        <w:rPr>
          <w:rFonts w:cs="Times New Roman"/>
          <w:szCs w:val="24"/>
        </w:rPr>
        <w:t xml:space="preserve">and </w:t>
      </w:r>
      <w:r w:rsidR="002C3329">
        <w:rPr>
          <w:rFonts w:cs="Times New Roman"/>
          <w:szCs w:val="24"/>
        </w:rPr>
        <w:t xml:space="preserve">what it </w:t>
      </w:r>
      <w:r w:rsidR="0008548E">
        <w:rPr>
          <w:rFonts w:cs="Times New Roman"/>
          <w:szCs w:val="24"/>
        </w:rPr>
        <w:t xml:space="preserve">ought to be.  </w:t>
      </w:r>
      <w:r>
        <w:rPr>
          <w:rFonts w:cs="Times New Roman"/>
          <w:szCs w:val="24"/>
        </w:rPr>
        <w:t xml:space="preserve">In this sense, allowing jurors to directly </w:t>
      </w:r>
      <w:r w:rsidR="0008548E">
        <w:rPr>
          <w:rFonts w:cs="Times New Roman"/>
          <w:szCs w:val="24"/>
        </w:rPr>
        <w:t xml:space="preserve">interpret the law </w:t>
      </w:r>
      <w:r>
        <w:rPr>
          <w:rFonts w:cs="Times New Roman"/>
          <w:szCs w:val="24"/>
        </w:rPr>
        <w:t>a</w:t>
      </w:r>
      <w:r w:rsidR="0008548E">
        <w:rPr>
          <w:rFonts w:cs="Times New Roman"/>
          <w:szCs w:val="24"/>
        </w:rPr>
        <w:t xml:space="preserve"> </w:t>
      </w:r>
      <w:r w:rsidR="008421EC">
        <w:rPr>
          <w:rFonts w:cs="Times New Roman"/>
          <w:szCs w:val="24"/>
        </w:rPr>
        <w:t>dialogue</w:t>
      </w:r>
      <w:r w:rsidR="0008548E">
        <w:rPr>
          <w:rFonts w:cs="Times New Roman"/>
          <w:szCs w:val="24"/>
        </w:rPr>
        <w:t xml:space="preserve"> </w:t>
      </w:r>
      <w:r>
        <w:rPr>
          <w:rFonts w:cs="Times New Roman"/>
          <w:szCs w:val="24"/>
        </w:rPr>
        <w:t xml:space="preserve">is opened </w:t>
      </w:r>
      <w:r w:rsidR="0008548E">
        <w:rPr>
          <w:rFonts w:cs="Times New Roman"/>
          <w:szCs w:val="24"/>
        </w:rPr>
        <w:t>between the formerly static construct and the ordinary citizen.  In this sense, the jury plays a role that members of the formal branches may be unable or unwilling to do – they construct law that is both public and predictable to the masses from which they are draw</w:t>
      </w:r>
      <w:r>
        <w:rPr>
          <w:rFonts w:cs="Times New Roman"/>
          <w:szCs w:val="24"/>
        </w:rPr>
        <w:t>n.  This is not to say that juries are the only component of open governance, or that they</w:t>
      </w:r>
      <w:r w:rsidR="0008548E">
        <w:rPr>
          <w:rFonts w:cs="Times New Roman"/>
          <w:szCs w:val="24"/>
        </w:rPr>
        <w:t xml:space="preserve"> should displace the authority of formal bodies to create and interpret law, </w:t>
      </w:r>
      <w:r>
        <w:rPr>
          <w:rFonts w:cs="Times New Roman"/>
          <w:szCs w:val="24"/>
        </w:rPr>
        <w:t xml:space="preserve">or that there are not ways to improve juror transparency, </w:t>
      </w:r>
      <w:r w:rsidR="0008548E">
        <w:rPr>
          <w:rFonts w:cs="Times New Roman"/>
          <w:szCs w:val="24"/>
        </w:rPr>
        <w:t xml:space="preserve">but </w:t>
      </w:r>
      <w:r w:rsidR="002C3329">
        <w:rPr>
          <w:rFonts w:cs="Times New Roman"/>
          <w:szCs w:val="24"/>
        </w:rPr>
        <w:t xml:space="preserve">it is to say </w:t>
      </w:r>
      <w:r w:rsidR="0008548E">
        <w:rPr>
          <w:rFonts w:cs="Times New Roman"/>
          <w:szCs w:val="24"/>
        </w:rPr>
        <w:t>th</w:t>
      </w:r>
      <w:r>
        <w:rPr>
          <w:rFonts w:cs="Times New Roman"/>
          <w:szCs w:val="24"/>
        </w:rPr>
        <w:t>at jurors</w:t>
      </w:r>
      <w:r w:rsidR="0008548E">
        <w:rPr>
          <w:rFonts w:cs="Times New Roman"/>
          <w:szCs w:val="24"/>
        </w:rPr>
        <w:t xml:space="preserve"> act as a</w:t>
      </w:r>
      <w:r>
        <w:rPr>
          <w:rFonts w:cs="Times New Roman"/>
          <w:szCs w:val="24"/>
        </w:rPr>
        <w:t xml:space="preserve"> critical</w:t>
      </w:r>
      <w:r w:rsidR="0008548E">
        <w:rPr>
          <w:rFonts w:cs="Times New Roman"/>
          <w:szCs w:val="24"/>
        </w:rPr>
        <w:t xml:space="preserve"> check in cases where the </w:t>
      </w:r>
      <w:r w:rsidR="008421EC">
        <w:rPr>
          <w:rFonts w:cs="Times New Roman"/>
          <w:szCs w:val="24"/>
        </w:rPr>
        <w:t>ideal of</w:t>
      </w:r>
      <w:r w:rsidR="0008548E">
        <w:rPr>
          <w:rFonts w:cs="Times New Roman"/>
          <w:szCs w:val="24"/>
        </w:rPr>
        <w:t xml:space="preserve"> a </w:t>
      </w:r>
      <w:r w:rsidR="00F52173">
        <w:rPr>
          <w:rFonts w:cs="Times New Roman"/>
          <w:szCs w:val="24"/>
        </w:rPr>
        <w:t>knowable and</w:t>
      </w:r>
      <w:r>
        <w:rPr>
          <w:rFonts w:cs="Times New Roman"/>
          <w:szCs w:val="24"/>
        </w:rPr>
        <w:t xml:space="preserve"> transparent </w:t>
      </w:r>
      <w:r w:rsidR="0008548E">
        <w:rPr>
          <w:rFonts w:cs="Times New Roman"/>
          <w:szCs w:val="24"/>
        </w:rPr>
        <w:t>law has been displaced</w:t>
      </w:r>
      <w:r w:rsidR="002C3329">
        <w:rPr>
          <w:rFonts w:cs="Times New Roman"/>
          <w:szCs w:val="24"/>
        </w:rPr>
        <w:t xml:space="preserve"> by an overly formal construct</w:t>
      </w:r>
      <w:r w:rsidR="0008548E">
        <w:rPr>
          <w:rFonts w:cs="Times New Roman"/>
          <w:szCs w:val="24"/>
        </w:rPr>
        <w:t>.</w:t>
      </w:r>
    </w:p>
    <w:p w14:paraId="1D01A6E5" w14:textId="29A4950F" w:rsidR="00300EBD" w:rsidRPr="00B533EE" w:rsidRDefault="007F4AD1" w:rsidP="00847188">
      <w:pPr>
        <w:pStyle w:val="Titre1"/>
        <w:rPr>
          <w:caps/>
        </w:rPr>
      </w:pPr>
      <w:r>
        <w:t>The Jury and Open Governance</w:t>
      </w:r>
    </w:p>
    <w:p w14:paraId="36ED741C" w14:textId="25F6C1C6" w:rsidR="009F28AE" w:rsidRDefault="007F4AD1" w:rsidP="007F4AD1">
      <w:pPr>
        <w:pStyle w:val="Pardeliste"/>
        <w:ind w:left="0" w:firstLine="720"/>
      </w:pPr>
      <w:r>
        <w:rPr>
          <w:rFonts w:cs="Times New Roman"/>
          <w:szCs w:val="24"/>
        </w:rPr>
        <w:t>To accept that open governance should encompass jury’s raises</w:t>
      </w:r>
      <w:r w:rsidR="009C4434" w:rsidRPr="00580D7B">
        <w:rPr>
          <w:rFonts w:cs="Times New Roman"/>
          <w:szCs w:val="24"/>
        </w:rPr>
        <w:t xml:space="preserve"> </w:t>
      </w:r>
      <w:r w:rsidR="0034123E" w:rsidRPr="00580D7B">
        <w:rPr>
          <w:rFonts w:cs="Times New Roman"/>
          <w:szCs w:val="24"/>
        </w:rPr>
        <w:t>the more difficult question</w:t>
      </w:r>
      <w:r>
        <w:rPr>
          <w:rFonts w:cs="Times New Roman"/>
          <w:szCs w:val="24"/>
        </w:rPr>
        <w:t xml:space="preserve"> how the jury should fill this role and what limitations should be placed on it</w:t>
      </w:r>
      <w:r w:rsidR="009A6C84">
        <w:rPr>
          <w:rFonts w:cs="Times New Roman"/>
          <w:szCs w:val="24"/>
        </w:rPr>
        <w:t>.</w:t>
      </w:r>
      <w:r w:rsidR="0034123E" w:rsidRPr="00580D7B">
        <w:rPr>
          <w:rFonts w:cs="Times New Roman"/>
          <w:szCs w:val="24"/>
        </w:rPr>
        <w:t xml:space="preserve">  </w:t>
      </w:r>
      <w:r w:rsidR="00065A29" w:rsidRPr="00580D7B">
        <w:rPr>
          <w:rFonts w:cs="Times New Roman"/>
          <w:szCs w:val="24"/>
        </w:rPr>
        <w:t xml:space="preserve">In </w:t>
      </w:r>
      <w:r>
        <w:rPr>
          <w:rFonts w:cs="Times New Roman"/>
          <w:szCs w:val="24"/>
        </w:rPr>
        <w:t xml:space="preserve">answering question </w:t>
      </w:r>
      <w:r w:rsidR="00065A29" w:rsidRPr="00580D7B">
        <w:rPr>
          <w:rFonts w:cs="Times New Roman"/>
          <w:szCs w:val="24"/>
        </w:rPr>
        <w:t>there are known quantities.  G</w:t>
      </w:r>
      <w:r w:rsidR="00E16E97" w:rsidRPr="00580D7B">
        <w:rPr>
          <w:rFonts w:cs="Times New Roman"/>
          <w:szCs w:val="24"/>
        </w:rPr>
        <w:t xml:space="preserve">overnance </w:t>
      </w:r>
      <w:r w:rsidR="00065A29" w:rsidRPr="00580D7B">
        <w:rPr>
          <w:rFonts w:cs="Times New Roman"/>
          <w:szCs w:val="24"/>
        </w:rPr>
        <w:t>emerges as a story</w:t>
      </w:r>
      <w:r w:rsidR="00E16E97" w:rsidRPr="00580D7B">
        <w:rPr>
          <w:rFonts w:cs="Times New Roman"/>
          <w:szCs w:val="24"/>
        </w:rPr>
        <w:t xml:space="preserve"> about spaces – the places, real or theoretical, in which law is made and obedience acquired (or demanded).  The </w:t>
      </w:r>
      <w:r>
        <w:rPr>
          <w:rFonts w:cs="Times New Roman"/>
          <w:szCs w:val="24"/>
        </w:rPr>
        <w:t>open governance movement</w:t>
      </w:r>
      <w:r w:rsidR="00E16E97" w:rsidRPr="00580D7B">
        <w:rPr>
          <w:rFonts w:cs="Times New Roman"/>
          <w:szCs w:val="24"/>
        </w:rPr>
        <w:t xml:space="preserve"> seeks to define the boundaries of those spaces and, in the process, to define the concept of law</w:t>
      </w:r>
      <w:r>
        <w:rPr>
          <w:rFonts w:cs="Times New Roman"/>
          <w:szCs w:val="24"/>
        </w:rPr>
        <w:t xml:space="preserve"> and government itself</w:t>
      </w:r>
      <w:r w:rsidR="00E16E97" w:rsidRPr="00580D7B">
        <w:rPr>
          <w:rFonts w:cs="Times New Roman"/>
          <w:szCs w:val="24"/>
        </w:rPr>
        <w:t xml:space="preserve">. </w:t>
      </w:r>
    </w:p>
    <w:p w14:paraId="4E8C30C2" w14:textId="054DF3E9" w:rsidR="002B76E7" w:rsidRDefault="007F4AD1" w:rsidP="00920A2F">
      <w:pPr>
        <w:ind w:firstLine="720"/>
      </w:pPr>
      <w:r>
        <w:t>Contemporary debate about open governance has</w:t>
      </w:r>
      <w:r w:rsidR="002B76E7">
        <w:t xml:space="preserve"> struggle</w:t>
      </w:r>
      <w:r>
        <w:t>d</w:t>
      </w:r>
      <w:r w:rsidR="002B76E7">
        <w:t xml:space="preserve"> to reconcile its promise of</w:t>
      </w:r>
      <w:r w:rsidR="000F2019">
        <w:t xml:space="preserve"> a</w:t>
      </w:r>
      <w:r w:rsidR="002B76E7">
        <w:t xml:space="preserve"> predictabl</w:t>
      </w:r>
      <w:r w:rsidR="000F2019">
        <w:t>e, knowable,</w:t>
      </w:r>
      <w:r w:rsidR="002B76E7">
        <w:t xml:space="preserve"> stabil</w:t>
      </w:r>
      <w:r w:rsidR="000F2019">
        <w:t>e law</w:t>
      </w:r>
      <w:r w:rsidR="002B76E7">
        <w:t xml:space="preserve"> with the reality that rules, laws, and even the government </w:t>
      </w:r>
      <w:r w:rsidR="007F22AF">
        <w:t xml:space="preserve">itself </w:t>
      </w:r>
      <w:r w:rsidR="002B76E7">
        <w:t>exist in context – the spaces of people’s real lives</w:t>
      </w:r>
      <w:r w:rsidR="008048C7">
        <w:t xml:space="preserve"> </w:t>
      </w:r>
      <w:r w:rsidR="007F22AF">
        <w:t xml:space="preserve">– </w:t>
      </w:r>
      <w:r w:rsidR="008048C7">
        <w:t>and are subject to interpretation and re-imagination</w:t>
      </w:r>
      <w:r w:rsidR="002B76E7">
        <w:t xml:space="preserve">.  The </w:t>
      </w:r>
      <w:r>
        <w:t>governance itself</w:t>
      </w:r>
      <w:r w:rsidR="002B76E7">
        <w:t xml:space="preserve"> is bound on all sides by the need for a normative consensus </w:t>
      </w:r>
      <w:r w:rsidR="007F22AF">
        <w:t xml:space="preserve">that allows </w:t>
      </w:r>
      <w:r w:rsidR="002B76E7">
        <w:t xml:space="preserve">the law to demand obedience </w:t>
      </w:r>
      <w:r w:rsidR="004B58EC">
        <w:t xml:space="preserve">through </w:t>
      </w:r>
      <w:r w:rsidR="002B76E7">
        <w:t xml:space="preserve">the </w:t>
      </w:r>
      <w:r w:rsidR="002B76E7">
        <w:lastRenderedPageBreak/>
        <w:t>acceptance of the law</w:t>
      </w:r>
      <w:r w:rsidR="004B58EC">
        <w:t xml:space="preserve"> by the citizens</w:t>
      </w:r>
      <w:r w:rsidR="002B76E7">
        <w:t>.  The law may govern the community, but the community must have some space to shape the law.  At the end of the day, the rules or norms are only as effective as their ability to resonate with the community’s own</w:t>
      </w:r>
      <w:r w:rsidR="002C5DBD">
        <w:t xml:space="preserve"> notion of law and governance.</w:t>
      </w:r>
    </w:p>
    <w:p w14:paraId="73377377" w14:textId="2ED9FA77" w:rsidR="00CC65C1" w:rsidRDefault="002B76E7" w:rsidP="00920A2F">
      <w:pPr>
        <w:ind w:firstLine="720"/>
      </w:pPr>
      <w:r>
        <w:t xml:space="preserve">In moments of disconnect, when the law is discordant with the community’s values or expectations, it loses its power and the underlying aim of </w:t>
      </w:r>
      <w:r w:rsidR="002B5B86">
        <w:t>open governance</w:t>
      </w:r>
      <w:r>
        <w:t xml:space="preserve"> is defeated.  The law becomes a foreign body</w:t>
      </w:r>
      <w:r w:rsidR="002B5B86">
        <w:t xml:space="preserve"> that cannot be repaired with traditional notions of open governance</w:t>
      </w:r>
      <w:r>
        <w:t xml:space="preserve">.  </w:t>
      </w:r>
      <w:r w:rsidR="00263E93">
        <w:t xml:space="preserve">To retain its link to the community norms, </w:t>
      </w:r>
      <w:r w:rsidR="00C77A9C">
        <w:t xml:space="preserve">government </w:t>
      </w:r>
      <w:r w:rsidR="00263E93">
        <w:t>must re</w:t>
      </w:r>
      <w:r w:rsidR="002C5DBD">
        <w:t>-</w:t>
      </w:r>
      <w:r w:rsidR="00F378E5">
        <w:t>conceive of the relationship it seeks to create between the citizen and h</w:t>
      </w:r>
      <w:r w:rsidR="002C5DBD">
        <w:t>is</w:t>
      </w:r>
      <w:r w:rsidR="00F378E5">
        <w:t xml:space="preserve"> government </w:t>
      </w:r>
      <w:r w:rsidR="00263E93">
        <w:t>and</w:t>
      </w:r>
      <w:r w:rsidR="00F378E5">
        <w:t xml:space="preserve">, in the process, </w:t>
      </w:r>
      <w:r w:rsidR="00263E93">
        <w:t xml:space="preserve">the law itself.  </w:t>
      </w:r>
      <w:r w:rsidR="00C77A9C">
        <w:t xml:space="preserve">This notion is inherent in open government’s conception of law and governance as it rejects the ideal that </w:t>
      </w:r>
      <w:r w:rsidR="00456FFC">
        <w:t xml:space="preserve">the </w:t>
      </w:r>
      <w:r w:rsidR="009F28AE">
        <w:t>relationship between the citizen and the government as a distant one</w:t>
      </w:r>
      <w:r w:rsidR="00F378E5">
        <w:t>,</w:t>
      </w:r>
      <w:r w:rsidR="00456FFC">
        <w:t xml:space="preserve"> with fo</w:t>
      </w:r>
      <w:r w:rsidR="009F28AE">
        <w:t>rmal bodies creat</w:t>
      </w:r>
      <w:r w:rsidR="00456FFC">
        <w:t xml:space="preserve">ing </w:t>
      </w:r>
      <w:r w:rsidR="009F28AE">
        <w:t>law that the citizen must learn to accept and recognize</w:t>
      </w:r>
      <w:r w:rsidR="002A56FB">
        <w:t>, or reject</w:t>
      </w:r>
      <w:r w:rsidR="009F28AE">
        <w:t xml:space="preserve">.  </w:t>
      </w:r>
      <w:r w:rsidR="00456FFC">
        <w:t xml:space="preserve">This law might well attempt to reflect the underlying values of the community or its historical past, but it </w:t>
      </w:r>
      <w:r w:rsidR="008048C7">
        <w:t>is</w:t>
      </w:r>
      <w:r w:rsidR="00456FFC">
        <w:t xml:space="preserve"> created outside of the community itself.</w:t>
      </w:r>
      <w:r w:rsidR="00F378E5">
        <w:t xml:space="preserve">  This construction of law inevitably fails because it belies the reality that</w:t>
      </w:r>
      <w:r w:rsidR="009F2F25">
        <w:t>,</w:t>
      </w:r>
      <w:r w:rsidR="00F378E5">
        <w:t xml:space="preserve"> inevitably</w:t>
      </w:r>
      <w:r w:rsidR="009F2F25">
        <w:t>,</w:t>
      </w:r>
      <w:r w:rsidR="00F378E5">
        <w:t xml:space="preserve"> the law and the citizen must occupy the same space</w:t>
      </w:r>
      <w:r w:rsidR="009F2F25">
        <w:t>;</w:t>
      </w:r>
      <w:r w:rsidR="00F378E5">
        <w:t xml:space="preserve"> the very meaning of the law is drawn from the lives of the citizens it governs</w:t>
      </w:r>
      <w:r w:rsidR="000F2019">
        <w:t xml:space="preserve"> and their expectations of the law within their lives</w:t>
      </w:r>
      <w:r w:rsidR="00F378E5">
        <w:t>.  To accelerate the space between the people and the law is to construct a law that circles ever further away from those from whom it would demand obedience.</w:t>
      </w:r>
      <w:r w:rsidR="00740149">
        <w:t xml:space="preserve">  </w:t>
      </w:r>
    </w:p>
    <w:p w14:paraId="31559923" w14:textId="3AAA2561" w:rsidR="00740149" w:rsidRDefault="000F2019" w:rsidP="00CC65C1">
      <w:pPr>
        <w:ind w:firstLine="720"/>
        <w:rPr>
          <w:rFonts w:cs="Times New Roman"/>
          <w:szCs w:val="24"/>
        </w:rPr>
      </w:pPr>
      <w:r>
        <w:t xml:space="preserve">But to </w:t>
      </w:r>
      <w:r w:rsidR="009E7D2E">
        <w:t xml:space="preserve">reduce </w:t>
      </w:r>
      <w:r w:rsidR="00740149">
        <w:t>the space between the citizen and the law</w:t>
      </w:r>
      <w:r w:rsidR="009E7D2E">
        <w:t>,</w:t>
      </w:r>
      <w:r w:rsidR="00740149">
        <w:t xml:space="preserve"> and to reinvigorate the relationship between the citizen and her government</w:t>
      </w:r>
      <w:r>
        <w:t xml:space="preserve"> is to construct a law that jettisons some of the </w:t>
      </w:r>
      <w:r w:rsidR="00740149" w:rsidRPr="00B11D8D">
        <w:rPr>
          <w:rFonts w:cs="Times New Roman"/>
          <w:szCs w:val="24"/>
        </w:rPr>
        <w:t>formalistic premises</w:t>
      </w:r>
      <w:r>
        <w:rPr>
          <w:rFonts w:cs="Times New Roman"/>
          <w:szCs w:val="24"/>
        </w:rPr>
        <w:t xml:space="preserve"> in favor of the </w:t>
      </w:r>
      <w:r w:rsidR="00740149" w:rsidRPr="00B11D8D">
        <w:rPr>
          <w:rFonts w:cs="Times New Roman"/>
          <w:szCs w:val="24"/>
        </w:rPr>
        <w:t>normative experiences of those to whom the law applies</w:t>
      </w:r>
      <w:r>
        <w:rPr>
          <w:rFonts w:cs="Times New Roman"/>
          <w:szCs w:val="24"/>
        </w:rPr>
        <w:t>.</w:t>
      </w:r>
      <w:r w:rsidR="00740149">
        <w:rPr>
          <w:rStyle w:val="Appelnotedebasdep"/>
          <w:rFonts w:cs="Times New Roman"/>
          <w:szCs w:val="24"/>
        </w:rPr>
        <w:footnoteReference w:id="3"/>
      </w:r>
      <w:r w:rsidR="00740149" w:rsidRPr="00B11D8D">
        <w:rPr>
          <w:rFonts w:cs="Times New Roman"/>
          <w:szCs w:val="24"/>
        </w:rPr>
        <w:t xml:space="preserve">  While </w:t>
      </w:r>
      <w:r w:rsidR="00740149">
        <w:rPr>
          <w:rFonts w:cs="Times New Roman"/>
          <w:szCs w:val="24"/>
        </w:rPr>
        <w:t xml:space="preserve">abandoning rigid application may </w:t>
      </w:r>
      <w:r w:rsidR="00740149" w:rsidRPr="00B11D8D">
        <w:rPr>
          <w:rFonts w:cs="Times New Roman"/>
          <w:szCs w:val="24"/>
        </w:rPr>
        <w:t>inject a degree of uncertainty into the law</w:t>
      </w:r>
      <w:r w:rsidR="00C77A9C">
        <w:rPr>
          <w:rFonts w:cs="Times New Roman"/>
          <w:szCs w:val="24"/>
        </w:rPr>
        <w:t xml:space="preserve"> and governance</w:t>
      </w:r>
      <w:r w:rsidR="00740149" w:rsidRPr="00B11D8D">
        <w:rPr>
          <w:rFonts w:cs="Times New Roman"/>
          <w:szCs w:val="24"/>
        </w:rPr>
        <w:t xml:space="preserve">, even the most ardent </w:t>
      </w:r>
      <w:r w:rsidR="00740149">
        <w:rPr>
          <w:rFonts w:cs="Times New Roman"/>
          <w:szCs w:val="24"/>
        </w:rPr>
        <w:t>proponents of formalism</w:t>
      </w:r>
      <w:r w:rsidR="00740149" w:rsidRPr="00B11D8D">
        <w:rPr>
          <w:rFonts w:cs="Times New Roman"/>
          <w:szCs w:val="24"/>
        </w:rPr>
        <w:t xml:space="preserve"> would not argue that the</w:t>
      </w:r>
      <w:r w:rsidR="00C77A9C">
        <w:rPr>
          <w:rFonts w:cs="Times New Roman"/>
          <w:szCs w:val="24"/>
        </w:rPr>
        <w:t xml:space="preserve"> government’s or</w:t>
      </w:r>
      <w:r w:rsidR="00740149" w:rsidRPr="00B11D8D">
        <w:rPr>
          <w:rFonts w:cs="Times New Roman"/>
          <w:szCs w:val="24"/>
        </w:rPr>
        <w:t xml:space="preserve"> law’s redeeming principle is consistency for consistency sake.</w:t>
      </w:r>
      <w:r w:rsidR="00740149">
        <w:rPr>
          <w:rStyle w:val="Appelnotedebasdep"/>
          <w:rFonts w:cs="Times New Roman"/>
          <w:szCs w:val="24"/>
        </w:rPr>
        <w:footnoteReference w:id="4"/>
      </w:r>
      <w:r w:rsidR="00740149" w:rsidRPr="00B11D8D">
        <w:rPr>
          <w:rFonts w:cs="Times New Roman"/>
          <w:szCs w:val="24"/>
        </w:rPr>
        <w:t xml:space="preserve">  </w:t>
      </w:r>
      <w:r w:rsidR="00740149">
        <w:rPr>
          <w:rFonts w:cs="Times New Roman"/>
          <w:szCs w:val="24"/>
        </w:rPr>
        <w:t>T</w:t>
      </w:r>
      <w:r w:rsidR="00740149" w:rsidRPr="00B11D8D">
        <w:rPr>
          <w:rFonts w:cs="Times New Roman"/>
          <w:szCs w:val="24"/>
        </w:rPr>
        <w:t>he law serves many masters</w:t>
      </w:r>
      <w:r w:rsidR="00740149">
        <w:rPr>
          <w:rFonts w:cs="Times New Roman"/>
          <w:szCs w:val="24"/>
        </w:rPr>
        <w:t xml:space="preserve"> –</w:t>
      </w:r>
      <w:r w:rsidR="00740149" w:rsidRPr="00B11D8D">
        <w:rPr>
          <w:rFonts w:cs="Times New Roman"/>
          <w:szCs w:val="24"/>
        </w:rPr>
        <w:t xml:space="preserve"> empowering some, controlling or protecting others</w:t>
      </w:r>
      <w:r w:rsidR="00740149">
        <w:rPr>
          <w:rFonts w:cs="Times New Roman"/>
          <w:szCs w:val="24"/>
        </w:rPr>
        <w:t xml:space="preserve"> –</w:t>
      </w:r>
      <w:r w:rsidR="00F52362">
        <w:rPr>
          <w:rFonts w:cs="Times New Roman"/>
          <w:szCs w:val="24"/>
        </w:rPr>
        <w:t xml:space="preserve"> </w:t>
      </w:r>
      <w:r w:rsidR="00740149" w:rsidRPr="00B11D8D">
        <w:rPr>
          <w:rFonts w:cs="Times New Roman"/>
          <w:szCs w:val="24"/>
        </w:rPr>
        <w:t xml:space="preserve">but in the criminal system, </w:t>
      </w:r>
      <w:r w:rsidR="00740149">
        <w:rPr>
          <w:rFonts w:cs="Times New Roman"/>
          <w:szCs w:val="24"/>
        </w:rPr>
        <w:t xml:space="preserve">its ultimate goal is </w:t>
      </w:r>
      <w:r w:rsidR="00740149" w:rsidRPr="00B11D8D">
        <w:rPr>
          <w:rFonts w:cs="Times New Roman"/>
          <w:szCs w:val="24"/>
        </w:rPr>
        <w:t>always some larger concept of justice.</w:t>
      </w:r>
      <w:r w:rsidR="00740149">
        <w:rPr>
          <w:rStyle w:val="Appelnotedebasdep"/>
          <w:rFonts w:cs="Times New Roman"/>
          <w:szCs w:val="24"/>
        </w:rPr>
        <w:footnoteReference w:id="5"/>
      </w:r>
      <w:r w:rsidR="00740149" w:rsidRPr="00B11D8D">
        <w:rPr>
          <w:rFonts w:cs="Times New Roman"/>
          <w:szCs w:val="24"/>
        </w:rPr>
        <w:t xml:space="preserve">  When consistent application of the law </w:t>
      </w:r>
      <w:r w:rsidR="00AA1A2C">
        <w:rPr>
          <w:rFonts w:cs="Times New Roman"/>
          <w:szCs w:val="24"/>
        </w:rPr>
        <w:t xml:space="preserve">alone </w:t>
      </w:r>
      <w:r w:rsidR="00740149" w:rsidRPr="00B11D8D">
        <w:rPr>
          <w:rFonts w:cs="Times New Roman"/>
          <w:szCs w:val="24"/>
        </w:rPr>
        <w:t xml:space="preserve">will undermine that larger aim, </w:t>
      </w:r>
      <w:r w:rsidR="00740149">
        <w:rPr>
          <w:rFonts w:cs="Times New Roman"/>
          <w:szCs w:val="24"/>
        </w:rPr>
        <w:t xml:space="preserve">there must </w:t>
      </w:r>
      <w:r w:rsidR="00740149">
        <w:rPr>
          <w:rFonts w:cs="Times New Roman"/>
          <w:szCs w:val="24"/>
        </w:rPr>
        <w:lastRenderedPageBreak/>
        <w:t>be a mechanism within the system to construct new meaning,</w:t>
      </w:r>
      <w:r w:rsidR="00740149">
        <w:rPr>
          <w:rStyle w:val="Appelnotedebasdep"/>
          <w:rFonts w:cs="Times New Roman"/>
          <w:szCs w:val="24"/>
        </w:rPr>
        <w:footnoteReference w:id="6"/>
      </w:r>
      <w:r w:rsidR="00740149">
        <w:rPr>
          <w:rFonts w:cs="Times New Roman"/>
          <w:szCs w:val="24"/>
        </w:rPr>
        <w:t xml:space="preserve"> to </w:t>
      </w:r>
      <w:r w:rsidR="00740149" w:rsidRPr="00B11D8D">
        <w:rPr>
          <w:rFonts w:cs="Times New Roman"/>
          <w:szCs w:val="24"/>
        </w:rPr>
        <w:t xml:space="preserve">bend </w:t>
      </w:r>
      <w:r w:rsidR="00740149">
        <w:rPr>
          <w:rFonts w:cs="Times New Roman"/>
          <w:szCs w:val="24"/>
        </w:rPr>
        <w:t>the law around the lives it encounters to achieve its ultimate ends.</w:t>
      </w:r>
      <w:r w:rsidR="00740149">
        <w:rPr>
          <w:rStyle w:val="Appelnotedebasdep"/>
          <w:rFonts w:cs="Times New Roman"/>
          <w:szCs w:val="24"/>
        </w:rPr>
        <w:footnoteReference w:id="7"/>
      </w:r>
    </w:p>
    <w:p w14:paraId="3BE0A5C3" w14:textId="2E47365A" w:rsidR="00740149" w:rsidRPr="00B11D8D" w:rsidRDefault="00AA1A2C" w:rsidP="00740149">
      <w:pPr>
        <w:ind w:firstLine="720"/>
        <w:rPr>
          <w:rFonts w:cs="Times New Roman"/>
          <w:szCs w:val="24"/>
        </w:rPr>
      </w:pPr>
      <w:r>
        <w:rPr>
          <w:rFonts w:cs="Times New Roman"/>
          <w:szCs w:val="24"/>
        </w:rPr>
        <w:t>In short, a construction of law</w:t>
      </w:r>
      <w:r w:rsidR="00C77A9C">
        <w:rPr>
          <w:rFonts w:cs="Times New Roman"/>
          <w:szCs w:val="24"/>
        </w:rPr>
        <w:t xml:space="preserve"> and in the process governance</w:t>
      </w:r>
      <w:r>
        <w:rPr>
          <w:rFonts w:cs="Times New Roman"/>
          <w:szCs w:val="24"/>
        </w:rPr>
        <w:t xml:space="preserve"> that is drawn from many sources, including those it seeks to govern may actually </w:t>
      </w:r>
      <w:r w:rsidR="008421EC">
        <w:rPr>
          <w:rFonts w:cs="Times New Roman"/>
          <w:szCs w:val="24"/>
        </w:rPr>
        <w:t>enrich</w:t>
      </w:r>
      <w:r>
        <w:rPr>
          <w:rFonts w:cs="Times New Roman"/>
          <w:szCs w:val="24"/>
        </w:rPr>
        <w:t xml:space="preserve"> </w:t>
      </w:r>
      <w:r w:rsidR="00C77A9C">
        <w:rPr>
          <w:rFonts w:cs="Times New Roman"/>
          <w:szCs w:val="24"/>
        </w:rPr>
        <w:t xml:space="preserve">governance. The creation of </w:t>
      </w:r>
      <w:r w:rsidR="00740149">
        <w:rPr>
          <w:rFonts w:cs="Times New Roman"/>
          <w:szCs w:val="24"/>
        </w:rPr>
        <w:t>rule, or even a general principle to guide that rule, does not alone create law.  T</w:t>
      </w:r>
      <w:r w:rsidR="00740149" w:rsidRPr="00B11D8D">
        <w:rPr>
          <w:rFonts w:cs="Times New Roman"/>
          <w:szCs w:val="24"/>
        </w:rPr>
        <w:t xml:space="preserve">he writing that would codify and memorialize </w:t>
      </w:r>
      <w:r w:rsidR="00740149">
        <w:rPr>
          <w:rFonts w:cs="Times New Roman"/>
          <w:szCs w:val="24"/>
        </w:rPr>
        <w:t>some collecti</w:t>
      </w:r>
      <w:r w:rsidR="00740149" w:rsidRPr="00B11D8D">
        <w:rPr>
          <w:rFonts w:cs="Times New Roman"/>
          <w:szCs w:val="24"/>
        </w:rPr>
        <w:t xml:space="preserve">ve value </w:t>
      </w:r>
      <w:r w:rsidR="00740149">
        <w:rPr>
          <w:rFonts w:cs="Times New Roman"/>
          <w:szCs w:val="24"/>
        </w:rPr>
        <w:t xml:space="preserve">or morality </w:t>
      </w:r>
      <w:r w:rsidR="00C77A9C">
        <w:rPr>
          <w:rFonts w:cs="Times New Roman"/>
          <w:szCs w:val="24"/>
        </w:rPr>
        <w:t xml:space="preserve">in the name of open or participatory governance </w:t>
      </w:r>
      <w:r w:rsidR="00740149" w:rsidRPr="00B11D8D">
        <w:rPr>
          <w:rFonts w:cs="Times New Roman"/>
          <w:szCs w:val="24"/>
        </w:rPr>
        <w:t>is only the beginning (or maybe the middle) of the story th</w:t>
      </w:r>
      <w:r w:rsidR="00740149">
        <w:rPr>
          <w:rFonts w:cs="Times New Roman"/>
          <w:szCs w:val="24"/>
        </w:rPr>
        <w:t>at is the law.</w:t>
      </w:r>
      <w:r w:rsidR="00740149" w:rsidRPr="00B11D8D">
        <w:rPr>
          <w:rFonts w:cs="Times New Roman"/>
          <w:szCs w:val="24"/>
        </w:rPr>
        <w:t xml:space="preserve">  Th</w:t>
      </w:r>
      <w:r w:rsidR="00740149">
        <w:rPr>
          <w:rFonts w:cs="Times New Roman"/>
          <w:szCs w:val="24"/>
        </w:rPr>
        <w:t>e</w:t>
      </w:r>
      <w:r w:rsidR="00740149" w:rsidRPr="00B11D8D">
        <w:rPr>
          <w:rFonts w:cs="Times New Roman"/>
          <w:szCs w:val="24"/>
        </w:rPr>
        <w:t xml:space="preserve"> writing is simultaneously a fixed and ambiguous point.  It is fixed in that it is unchanging (though not unchangeable).  It remains long after the wars, the elections</w:t>
      </w:r>
      <w:r w:rsidR="00835A61">
        <w:rPr>
          <w:rFonts w:cs="Times New Roman"/>
          <w:szCs w:val="24"/>
        </w:rPr>
        <w:t>,</w:t>
      </w:r>
      <w:r w:rsidR="00740149" w:rsidRPr="00B11D8D">
        <w:rPr>
          <w:rFonts w:cs="Times New Roman"/>
          <w:szCs w:val="24"/>
        </w:rPr>
        <w:t xml:space="preserve"> and the debates have ended.  Absent some extraordinary moment of repeal, it lingers, even if unenforced, as law </w:t>
      </w:r>
      <w:r w:rsidR="00740149">
        <w:rPr>
          <w:rFonts w:cs="Times New Roman"/>
          <w:szCs w:val="24"/>
        </w:rPr>
        <w:t xml:space="preserve">capable at any moment of </w:t>
      </w:r>
      <w:r w:rsidR="00740149" w:rsidRPr="00B11D8D">
        <w:rPr>
          <w:rFonts w:cs="Times New Roman"/>
          <w:szCs w:val="24"/>
        </w:rPr>
        <w:t>demanding allegiance</w:t>
      </w:r>
      <w:r w:rsidR="00740149">
        <w:rPr>
          <w:rFonts w:cs="Times New Roman"/>
          <w:szCs w:val="24"/>
        </w:rPr>
        <w:t xml:space="preserve"> or punishment</w:t>
      </w:r>
      <w:r w:rsidR="00740149" w:rsidRPr="00B11D8D">
        <w:rPr>
          <w:rFonts w:cs="Times New Roman"/>
          <w:szCs w:val="24"/>
        </w:rPr>
        <w:t xml:space="preserve">.  </w:t>
      </w:r>
      <w:r w:rsidR="00740149">
        <w:rPr>
          <w:rFonts w:cs="Times New Roman"/>
          <w:szCs w:val="24"/>
        </w:rPr>
        <w:t xml:space="preserve">But </w:t>
      </w:r>
      <w:r>
        <w:rPr>
          <w:rFonts w:cs="Times New Roman"/>
          <w:szCs w:val="24"/>
        </w:rPr>
        <w:t>the text</w:t>
      </w:r>
      <w:r w:rsidR="00740149">
        <w:rPr>
          <w:rFonts w:cs="Times New Roman"/>
          <w:szCs w:val="24"/>
        </w:rPr>
        <w:t xml:space="preserve"> alone is incapable of imaging the </w:t>
      </w:r>
      <w:r w:rsidR="00740149" w:rsidRPr="00B11D8D">
        <w:rPr>
          <w:rFonts w:cs="Times New Roman"/>
          <w:szCs w:val="24"/>
        </w:rPr>
        <w:t xml:space="preserve">lives of those to whom it might apply.  It </w:t>
      </w:r>
      <w:r w:rsidR="00740149">
        <w:rPr>
          <w:rFonts w:cs="Times New Roman"/>
          <w:szCs w:val="24"/>
        </w:rPr>
        <w:t>is composed of</w:t>
      </w:r>
      <w:r w:rsidR="00740149" w:rsidRPr="00B11D8D">
        <w:rPr>
          <w:rFonts w:cs="Times New Roman"/>
          <w:szCs w:val="24"/>
        </w:rPr>
        <w:t xml:space="preserve"> generalities.</w:t>
      </w:r>
      <w:r w:rsidR="00740149">
        <w:rPr>
          <w:rFonts w:cs="Times New Roman"/>
          <w:szCs w:val="24"/>
        </w:rPr>
        <w:t xml:space="preserve">  It is both over- and under-inclusive from the moment it is set to paper.</w:t>
      </w:r>
      <w:r w:rsidR="00740149" w:rsidRPr="00B11D8D">
        <w:rPr>
          <w:rFonts w:cs="Times New Roman"/>
          <w:szCs w:val="24"/>
        </w:rPr>
        <w:t xml:space="preserve">  It </w:t>
      </w:r>
      <w:r w:rsidR="00740149">
        <w:rPr>
          <w:rFonts w:cs="Times New Roman"/>
          <w:szCs w:val="24"/>
        </w:rPr>
        <w:t xml:space="preserve">cannot </w:t>
      </w:r>
      <w:r w:rsidR="00740149" w:rsidRPr="00B11D8D">
        <w:rPr>
          <w:rFonts w:cs="Times New Roman"/>
          <w:szCs w:val="24"/>
        </w:rPr>
        <w:t xml:space="preserve">contemplate </w:t>
      </w:r>
      <w:r w:rsidR="00740149">
        <w:rPr>
          <w:rFonts w:cs="Times New Roman"/>
          <w:szCs w:val="24"/>
        </w:rPr>
        <w:t xml:space="preserve">some future </w:t>
      </w:r>
      <w:r w:rsidR="00740149" w:rsidRPr="00B11D8D">
        <w:rPr>
          <w:rFonts w:cs="Times New Roman"/>
          <w:szCs w:val="24"/>
        </w:rPr>
        <w:t xml:space="preserve">scenario when the </w:t>
      </w:r>
      <w:r w:rsidR="00740149">
        <w:rPr>
          <w:rFonts w:cs="Times New Roman"/>
          <w:szCs w:val="24"/>
        </w:rPr>
        <w:t>words, applied formally, would confound their own purpose and produce an unjust result.</w:t>
      </w:r>
    </w:p>
    <w:p w14:paraId="3443FFB5" w14:textId="3D51FE55" w:rsidR="000D06BA" w:rsidRDefault="00CE4193" w:rsidP="000D06BA">
      <w:pPr>
        <w:ind w:firstLine="720"/>
        <w:rPr>
          <w:rFonts w:cs="Times New Roman"/>
          <w:szCs w:val="24"/>
        </w:rPr>
      </w:pPr>
      <w:r>
        <w:rPr>
          <w:rFonts w:cs="Times New Roman"/>
          <w:szCs w:val="24"/>
        </w:rPr>
        <w:t>L</w:t>
      </w:r>
      <w:r w:rsidR="00740149" w:rsidRPr="00B11D8D">
        <w:rPr>
          <w:rFonts w:cs="Times New Roman"/>
          <w:szCs w:val="24"/>
        </w:rPr>
        <w:t xml:space="preserve">ike all creatures constructed of words, </w:t>
      </w:r>
      <w:r w:rsidR="00740149">
        <w:rPr>
          <w:rFonts w:cs="Times New Roman"/>
          <w:szCs w:val="24"/>
        </w:rPr>
        <w:t xml:space="preserve">the written law is </w:t>
      </w:r>
      <w:r>
        <w:rPr>
          <w:rFonts w:cs="Times New Roman"/>
          <w:szCs w:val="24"/>
        </w:rPr>
        <w:t>also</w:t>
      </w:r>
      <w:r w:rsidR="00F6632B">
        <w:rPr>
          <w:rFonts w:cs="Times New Roman"/>
          <w:szCs w:val="24"/>
        </w:rPr>
        <w:t>,</w:t>
      </w:r>
      <w:r>
        <w:rPr>
          <w:rFonts w:cs="Times New Roman"/>
          <w:szCs w:val="24"/>
        </w:rPr>
        <w:t xml:space="preserve"> in its stasis</w:t>
      </w:r>
      <w:r w:rsidR="00F6632B">
        <w:rPr>
          <w:rFonts w:cs="Times New Roman"/>
          <w:szCs w:val="24"/>
        </w:rPr>
        <w:t>,</w:t>
      </w:r>
      <w:r w:rsidR="00740149" w:rsidRPr="00B11D8D">
        <w:rPr>
          <w:rFonts w:cs="Times New Roman"/>
          <w:szCs w:val="24"/>
        </w:rPr>
        <w:t xml:space="preserve"> ambiguous.  </w:t>
      </w:r>
      <w:r w:rsidR="00740149">
        <w:rPr>
          <w:rFonts w:cs="Times New Roman"/>
          <w:szCs w:val="24"/>
        </w:rPr>
        <w:t>Its</w:t>
      </w:r>
      <w:r w:rsidR="00740149" w:rsidRPr="00B11D8D">
        <w:rPr>
          <w:rFonts w:cs="Times New Roman"/>
          <w:szCs w:val="24"/>
        </w:rPr>
        <w:t xml:space="preserve"> language</w:t>
      </w:r>
      <w:r w:rsidR="00740149">
        <w:rPr>
          <w:rFonts w:cs="Times New Roman"/>
          <w:szCs w:val="24"/>
        </w:rPr>
        <w:t xml:space="preserve"> obscures and eludes meaning at the moment of contact with the normative world.  Someone must give meaning to the words.  Someone must interpret the law.</w:t>
      </w:r>
      <w:r w:rsidR="00C701D4">
        <w:rPr>
          <w:rFonts w:cs="Times New Roman"/>
          <w:szCs w:val="24"/>
        </w:rPr>
        <w:t xml:space="preserve">  Interpretation imperils predictability, knowability and stability.  As the executive and judiciary define the parameters of the law</w:t>
      </w:r>
      <w:r w:rsidR="00CA7627">
        <w:rPr>
          <w:rFonts w:cs="Times New Roman"/>
          <w:szCs w:val="24"/>
        </w:rPr>
        <w:t xml:space="preserve"> through interpretation and application</w:t>
      </w:r>
      <w:r w:rsidR="00C701D4">
        <w:rPr>
          <w:rFonts w:cs="Times New Roman"/>
          <w:szCs w:val="24"/>
        </w:rPr>
        <w:t xml:space="preserve">, even the plainest of text may take on meanings increasingly distant from the understanding of </w:t>
      </w:r>
      <w:r w:rsidR="008421EC">
        <w:rPr>
          <w:rFonts w:cs="Times New Roman"/>
          <w:szCs w:val="24"/>
        </w:rPr>
        <w:t>ordinary</w:t>
      </w:r>
      <w:r w:rsidR="000D06BA">
        <w:rPr>
          <w:rFonts w:cs="Times New Roman"/>
          <w:szCs w:val="24"/>
        </w:rPr>
        <w:t xml:space="preserve"> folks who live in the shadow of the law.  </w:t>
      </w:r>
      <w:r w:rsidR="00C701D4">
        <w:rPr>
          <w:rFonts w:cs="Times New Roman"/>
          <w:szCs w:val="24"/>
        </w:rPr>
        <w:t xml:space="preserve">Words abandon their common </w:t>
      </w:r>
      <w:r w:rsidR="00CA7627">
        <w:rPr>
          <w:rFonts w:cs="Times New Roman"/>
          <w:szCs w:val="24"/>
        </w:rPr>
        <w:t xml:space="preserve">or understood </w:t>
      </w:r>
      <w:r w:rsidR="00C701D4">
        <w:rPr>
          <w:rFonts w:cs="Times New Roman"/>
          <w:szCs w:val="24"/>
        </w:rPr>
        <w:t xml:space="preserve">meanings and become terms of art; </w:t>
      </w:r>
      <w:r w:rsidR="000D06BA">
        <w:rPr>
          <w:rFonts w:cs="Times New Roman"/>
          <w:szCs w:val="24"/>
        </w:rPr>
        <w:t xml:space="preserve">complex to the point of incomprehension with their interpretive glosses.  Statutes with </w:t>
      </w:r>
      <w:r w:rsidR="008421EC">
        <w:rPr>
          <w:rFonts w:cs="Times New Roman"/>
          <w:szCs w:val="24"/>
        </w:rPr>
        <w:t>vague</w:t>
      </w:r>
      <w:r w:rsidR="000D06BA">
        <w:rPr>
          <w:rFonts w:cs="Times New Roman"/>
          <w:szCs w:val="24"/>
        </w:rPr>
        <w:t xml:space="preserve"> or open textured language are particularly vulnerable.  </w:t>
      </w:r>
      <w:r w:rsidR="00C77A9C">
        <w:rPr>
          <w:rFonts w:cs="Times New Roman"/>
          <w:szCs w:val="24"/>
        </w:rPr>
        <w:t>Secondary or a</w:t>
      </w:r>
      <w:r w:rsidR="000D06BA">
        <w:rPr>
          <w:rFonts w:cs="Times New Roman"/>
          <w:szCs w:val="24"/>
        </w:rPr>
        <w:t>ppellate court</w:t>
      </w:r>
      <w:r w:rsidR="00CA7627">
        <w:rPr>
          <w:rFonts w:cs="Times New Roman"/>
          <w:szCs w:val="24"/>
        </w:rPr>
        <w:t>s</w:t>
      </w:r>
      <w:r w:rsidR="000D06BA">
        <w:rPr>
          <w:rFonts w:cs="Times New Roman"/>
          <w:szCs w:val="24"/>
        </w:rPr>
        <w:t xml:space="preserve"> with </w:t>
      </w:r>
      <w:r w:rsidR="00CA7627">
        <w:rPr>
          <w:rFonts w:cs="Times New Roman"/>
          <w:szCs w:val="24"/>
        </w:rPr>
        <w:t>their</w:t>
      </w:r>
      <w:r w:rsidR="000D06BA">
        <w:rPr>
          <w:rFonts w:cs="Times New Roman"/>
          <w:szCs w:val="24"/>
        </w:rPr>
        <w:t xml:space="preserve"> allegiance to elaborate legal tests and the inevitable carving out of exceptions and exceptions to exception over time only compound the problem. In time, the citizens’ ability to know the law presents as a near impossible ideal.</w:t>
      </w:r>
      <w:r w:rsidR="00C701D4">
        <w:rPr>
          <w:rFonts w:cs="Times New Roman"/>
          <w:szCs w:val="24"/>
        </w:rPr>
        <w:t xml:space="preserve">  </w:t>
      </w:r>
    </w:p>
    <w:p w14:paraId="2FB5A2BD" w14:textId="77777777" w:rsidR="00740149" w:rsidRDefault="00740149" w:rsidP="00740149">
      <w:pPr>
        <w:ind w:firstLine="720"/>
        <w:rPr>
          <w:rFonts w:cs="Times New Roman"/>
          <w:szCs w:val="24"/>
        </w:rPr>
      </w:pPr>
      <w:bookmarkStart w:id="3" w:name="start"/>
      <w:bookmarkEnd w:id="3"/>
      <w:r>
        <w:rPr>
          <w:rFonts w:cs="Times New Roman"/>
          <w:szCs w:val="24"/>
        </w:rPr>
        <w:lastRenderedPageBreak/>
        <w:t xml:space="preserve">Each </w:t>
      </w:r>
      <w:r w:rsidR="00C701D4">
        <w:rPr>
          <w:rFonts w:cs="Times New Roman"/>
          <w:szCs w:val="24"/>
        </w:rPr>
        <w:t>layer</w:t>
      </w:r>
      <w:r w:rsidR="00CA7627">
        <w:rPr>
          <w:rFonts w:cs="Times New Roman"/>
          <w:szCs w:val="24"/>
        </w:rPr>
        <w:t xml:space="preserve"> of</w:t>
      </w:r>
      <w:r w:rsidRPr="00B11D8D">
        <w:rPr>
          <w:rFonts w:cs="Times New Roman"/>
          <w:szCs w:val="24"/>
        </w:rPr>
        <w:t xml:space="preserve"> interpretation carr</w:t>
      </w:r>
      <w:r w:rsidR="00C00614">
        <w:rPr>
          <w:rFonts w:cs="Times New Roman"/>
          <w:szCs w:val="24"/>
        </w:rPr>
        <w:t>ies</w:t>
      </w:r>
      <w:r w:rsidRPr="00B11D8D">
        <w:rPr>
          <w:rFonts w:cs="Times New Roman"/>
          <w:szCs w:val="24"/>
        </w:rPr>
        <w:t xml:space="preserve"> a power all </w:t>
      </w:r>
      <w:r w:rsidR="00FA4E31">
        <w:rPr>
          <w:rFonts w:cs="Times New Roman"/>
          <w:szCs w:val="24"/>
        </w:rPr>
        <w:t>its</w:t>
      </w:r>
      <w:r w:rsidRPr="00B11D8D">
        <w:rPr>
          <w:rFonts w:cs="Times New Roman"/>
          <w:szCs w:val="24"/>
        </w:rPr>
        <w:t xml:space="preserve"> own. </w:t>
      </w:r>
      <w:r>
        <w:rPr>
          <w:rFonts w:cs="Times New Roman"/>
          <w:szCs w:val="24"/>
        </w:rPr>
        <w:t xml:space="preserve"> </w:t>
      </w:r>
      <w:r w:rsidR="00CA7627">
        <w:rPr>
          <w:rFonts w:cs="Times New Roman"/>
          <w:szCs w:val="24"/>
        </w:rPr>
        <w:t>It</w:t>
      </w:r>
      <w:r>
        <w:rPr>
          <w:rFonts w:cs="Times New Roman"/>
          <w:szCs w:val="24"/>
        </w:rPr>
        <w:t xml:space="preserve"> write</w:t>
      </w:r>
      <w:r w:rsidR="00CA7627">
        <w:rPr>
          <w:rFonts w:cs="Times New Roman"/>
          <w:szCs w:val="24"/>
        </w:rPr>
        <w:t>s</w:t>
      </w:r>
      <w:r>
        <w:rPr>
          <w:rFonts w:cs="Times New Roman"/>
          <w:szCs w:val="24"/>
        </w:rPr>
        <w:t xml:space="preserve"> </w:t>
      </w:r>
      <w:r w:rsidRPr="00B11D8D">
        <w:rPr>
          <w:rFonts w:cs="Times New Roman"/>
          <w:szCs w:val="24"/>
        </w:rPr>
        <w:t>meaning over and onto the words of the statute</w:t>
      </w:r>
      <w:r>
        <w:rPr>
          <w:rFonts w:cs="Times New Roman"/>
          <w:szCs w:val="24"/>
        </w:rPr>
        <w:t xml:space="preserve">, </w:t>
      </w:r>
      <w:r w:rsidR="00F666EC">
        <w:rPr>
          <w:rFonts w:cs="Times New Roman"/>
          <w:szCs w:val="24"/>
        </w:rPr>
        <w:t xml:space="preserve">seeking to </w:t>
      </w:r>
      <w:r>
        <w:rPr>
          <w:rFonts w:cs="Times New Roman"/>
          <w:szCs w:val="24"/>
        </w:rPr>
        <w:t xml:space="preserve">lend the citizen a context and history through which </w:t>
      </w:r>
      <w:r w:rsidR="00CA7627">
        <w:rPr>
          <w:rFonts w:cs="Times New Roman"/>
          <w:szCs w:val="24"/>
        </w:rPr>
        <w:t>his</w:t>
      </w:r>
      <w:r w:rsidR="00F666EC">
        <w:rPr>
          <w:rFonts w:cs="Times New Roman"/>
          <w:szCs w:val="24"/>
        </w:rPr>
        <w:t xml:space="preserve"> expectation of the law can be shaped.</w:t>
      </w:r>
      <w:r>
        <w:rPr>
          <w:rFonts w:cs="Times New Roman"/>
          <w:szCs w:val="24"/>
        </w:rPr>
        <w:t xml:space="preserve"> </w:t>
      </w:r>
      <w:r w:rsidR="00F666EC">
        <w:rPr>
          <w:rFonts w:cs="Times New Roman"/>
          <w:szCs w:val="24"/>
        </w:rPr>
        <w:t xml:space="preserve"> </w:t>
      </w:r>
      <w:r>
        <w:rPr>
          <w:rFonts w:cs="Times New Roman"/>
          <w:szCs w:val="24"/>
        </w:rPr>
        <w:t xml:space="preserve">But at some point, in a quiet space removed from the formal rooms of this previous construction, the citizen lays the written word and the history it carries next to the story of </w:t>
      </w:r>
      <w:r w:rsidR="00835A61">
        <w:rPr>
          <w:rFonts w:cs="Times New Roman"/>
          <w:szCs w:val="24"/>
        </w:rPr>
        <w:t>his</w:t>
      </w:r>
      <w:r>
        <w:rPr>
          <w:rFonts w:cs="Times New Roman"/>
          <w:szCs w:val="24"/>
        </w:rPr>
        <w:t xml:space="preserve"> own life and seeks a common meaning.  When that commonality is elusive, when the formal construction of the law’s meaning is too rigid or otherwise confounds the citizen’s notions of morality or the purpose of the law itself, the citizen may seek reconciliation, an integration of the law’s formalism with the normative experience </w:t>
      </w:r>
      <w:r w:rsidR="00835A61">
        <w:rPr>
          <w:rFonts w:cs="Times New Roman"/>
          <w:szCs w:val="24"/>
        </w:rPr>
        <w:t>they</w:t>
      </w:r>
      <w:r>
        <w:rPr>
          <w:rFonts w:cs="Times New Roman"/>
          <w:szCs w:val="24"/>
        </w:rPr>
        <w:t xml:space="preserve"> together – the law and </w:t>
      </w:r>
      <w:r w:rsidR="00835A61">
        <w:rPr>
          <w:rFonts w:cs="Times New Roman"/>
          <w:szCs w:val="24"/>
        </w:rPr>
        <w:t>citizen</w:t>
      </w:r>
      <w:r>
        <w:rPr>
          <w:rFonts w:cs="Times New Roman"/>
          <w:szCs w:val="24"/>
        </w:rPr>
        <w:t xml:space="preserve"> – occupy.  Failing that, he will write a new meaning in his resistance.</w:t>
      </w:r>
    </w:p>
    <w:p w14:paraId="6630FA49" w14:textId="78777991" w:rsidR="0083033D" w:rsidRDefault="003D0908" w:rsidP="00740149">
      <w:pPr>
        <w:ind w:firstLine="720"/>
        <w:rPr>
          <w:rFonts w:cs="Times New Roman"/>
          <w:szCs w:val="24"/>
        </w:rPr>
      </w:pPr>
      <w:r>
        <w:rPr>
          <w:rFonts w:cs="Times New Roman"/>
          <w:szCs w:val="24"/>
        </w:rPr>
        <w:t>Th</w:t>
      </w:r>
      <w:r w:rsidR="00C77A9C">
        <w:rPr>
          <w:rFonts w:cs="Times New Roman"/>
          <w:szCs w:val="24"/>
        </w:rPr>
        <w:t xml:space="preserve">is is the embodiment of open government.  This push </w:t>
      </w:r>
      <w:r w:rsidR="00740149">
        <w:rPr>
          <w:rFonts w:cs="Times New Roman"/>
          <w:szCs w:val="24"/>
        </w:rPr>
        <w:t>to accommodate the reality that rigid application of the law undermines its purpose.</w:t>
      </w:r>
      <w:r w:rsidR="00251725">
        <w:rPr>
          <w:rFonts w:cs="Times New Roman"/>
          <w:szCs w:val="24"/>
        </w:rPr>
        <w:t xml:space="preserve">  T</w:t>
      </w:r>
      <w:r w:rsidR="00740149">
        <w:rPr>
          <w:rFonts w:cs="Times New Roman"/>
          <w:szCs w:val="24"/>
        </w:rPr>
        <w:t>hese ideals describe law as a body constructed and drawing meaning from many sources</w:t>
      </w:r>
      <w:r w:rsidR="00251725">
        <w:rPr>
          <w:rFonts w:cs="Times New Roman"/>
          <w:szCs w:val="24"/>
        </w:rPr>
        <w:t>.</w:t>
      </w:r>
      <w:r w:rsidR="00251725" w:rsidRPr="00251725">
        <w:rPr>
          <w:rStyle w:val="Appelnotedebasdep"/>
          <w:rFonts w:cs="Times New Roman"/>
          <w:szCs w:val="24"/>
        </w:rPr>
        <w:t xml:space="preserve"> </w:t>
      </w:r>
      <w:r w:rsidR="00251725">
        <w:rPr>
          <w:rStyle w:val="Appelnotedebasdep"/>
          <w:rFonts w:cs="Times New Roman"/>
          <w:szCs w:val="24"/>
        </w:rPr>
        <w:footnoteReference w:id="8"/>
      </w:r>
      <w:r w:rsidR="00251725">
        <w:rPr>
          <w:rFonts w:cs="Times New Roman"/>
          <w:szCs w:val="24"/>
        </w:rPr>
        <w:t xml:space="preserve">  </w:t>
      </w:r>
      <w:r>
        <w:rPr>
          <w:rFonts w:cs="Times New Roman"/>
          <w:szCs w:val="24"/>
        </w:rPr>
        <w:t>But these</w:t>
      </w:r>
      <w:r w:rsidR="00CA7627">
        <w:rPr>
          <w:rFonts w:cs="Times New Roman"/>
          <w:szCs w:val="24"/>
        </w:rPr>
        <w:t xml:space="preserve"> ideals are limited in the sources of interpretation they will consider.</w:t>
      </w:r>
      <w:r>
        <w:rPr>
          <w:rStyle w:val="Appelnotedebasdep"/>
          <w:rFonts w:cs="Times New Roman"/>
          <w:szCs w:val="24"/>
        </w:rPr>
        <w:footnoteReference w:id="9"/>
      </w:r>
      <w:r w:rsidR="00CA7627">
        <w:rPr>
          <w:rFonts w:cs="Times New Roman"/>
          <w:szCs w:val="24"/>
        </w:rPr>
        <w:t xml:space="preserve">  They fail to contemplate the citizen’s own moment of interpretation as a possible source of law </w:t>
      </w:r>
      <w:r w:rsidR="008421EC">
        <w:rPr>
          <w:rFonts w:cs="Times New Roman"/>
          <w:szCs w:val="24"/>
        </w:rPr>
        <w:t>believing</w:t>
      </w:r>
      <w:r w:rsidR="00CA7627">
        <w:rPr>
          <w:rFonts w:cs="Times New Roman"/>
          <w:szCs w:val="24"/>
        </w:rPr>
        <w:t xml:space="preserve"> that such an informal source of law might undermine predictability and stability.  But </w:t>
      </w:r>
      <w:r w:rsidR="00F6632B">
        <w:rPr>
          <w:rFonts w:cs="Times New Roman"/>
          <w:szCs w:val="24"/>
        </w:rPr>
        <w:t>in this they</w:t>
      </w:r>
      <w:r w:rsidR="00CA7627">
        <w:rPr>
          <w:rFonts w:cs="Times New Roman"/>
          <w:szCs w:val="24"/>
        </w:rPr>
        <w:t xml:space="preserve"> overlook the possibility that the citizen may </w:t>
      </w:r>
      <w:r w:rsidR="008421EC">
        <w:rPr>
          <w:rFonts w:cs="Times New Roman"/>
          <w:szCs w:val="24"/>
        </w:rPr>
        <w:t>possess</w:t>
      </w:r>
      <w:r w:rsidR="00CA7627">
        <w:rPr>
          <w:rFonts w:cs="Times New Roman"/>
          <w:szCs w:val="24"/>
        </w:rPr>
        <w:t xml:space="preserve"> a power of interpretation that formal branches lack.  </w:t>
      </w:r>
      <w:r w:rsidR="000E4D71">
        <w:rPr>
          <w:rFonts w:cs="Times New Roman"/>
          <w:szCs w:val="24"/>
        </w:rPr>
        <w:t xml:space="preserve">Jurors, by the very nature that they are ordinary citizens drawn from the community where the crime allegedly occurred, are in a unique position to consider the law in the context of a common community understanding.  Where courts and prosecutors may speak of </w:t>
      </w:r>
      <w:r w:rsidR="00980876">
        <w:rPr>
          <w:rFonts w:cs="Times New Roman"/>
          <w:szCs w:val="24"/>
        </w:rPr>
        <w:t>the</w:t>
      </w:r>
      <w:r w:rsidR="000E4D71">
        <w:rPr>
          <w:rFonts w:cs="Times New Roman"/>
          <w:szCs w:val="24"/>
        </w:rPr>
        <w:t xml:space="preserve"> formal meaning of statutory terms, the citizen interprets the language of the statute in lived terms</w:t>
      </w:r>
      <w:r w:rsidR="00980876">
        <w:rPr>
          <w:rFonts w:cs="Times New Roman"/>
          <w:szCs w:val="24"/>
        </w:rPr>
        <w:t xml:space="preserve"> lending the possibility of a new, more nuanced meaning and one that is more consistent with the citizens’ expectation of the law.</w:t>
      </w:r>
      <w:r>
        <w:rPr>
          <w:rStyle w:val="Appelnotedebasdep"/>
          <w:rFonts w:cs="Times New Roman"/>
          <w:szCs w:val="24"/>
        </w:rPr>
        <w:footnoteReference w:id="10"/>
      </w:r>
      <w:r w:rsidR="00980876">
        <w:rPr>
          <w:rFonts w:cs="Times New Roman"/>
          <w:szCs w:val="24"/>
        </w:rPr>
        <w:t xml:space="preserve">  In this sense, the juror may create </w:t>
      </w:r>
      <w:r w:rsidR="005C6D58">
        <w:rPr>
          <w:rFonts w:cs="Times New Roman"/>
          <w:szCs w:val="24"/>
        </w:rPr>
        <w:t xml:space="preserve">transparency, </w:t>
      </w:r>
      <w:r w:rsidR="00980876">
        <w:rPr>
          <w:rFonts w:cs="Times New Roman"/>
          <w:szCs w:val="24"/>
        </w:rPr>
        <w:t>stability</w:t>
      </w:r>
      <w:r w:rsidR="005C6D58">
        <w:rPr>
          <w:rFonts w:cs="Times New Roman"/>
          <w:szCs w:val="24"/>
        </w:rPr>
        <w:t>,</w:t>
      </w:r>
      <w:r w:rsidR="00980876">
        <w:rPr>
          <w:rFonts w:cs="Times New Roman"/>
          <w:szCs w:val="24"/>
        </w:rPr>
        <w:t xml:space="preserve"> and predictability in the law in ways </w:t>
      </w:r>
      <w:r w:rsidR="00980876">
        <w:rPr>
          <w:rFonts w:cs="Times New Roman"/>
          <w:szCs w:val="24"/>
        </w:rPr>
        <w:lastRenderedPageBreak/>
        <w:t>that has alluded formal construct alone.</w:t>
      </w:r>
      <w:r w:rsidR="00772C14">
        <w:rPr>
          <w:rStyle w:val="Appelnotedebasdep"/>
          <w:rFonts w:cs="Times New Roman"/>
          <w:szCs w:val="24"/>
        </w:rPr>
        <w:footnoteReference w:id="11"/>
      </w:r>
      <w:r w:rsidR="0083033D">
        <w:rPr>
          <w:rFonts w:cs="Times New Roman"/>
          <w:szCs w:val="24"/>
        </w:rPr>
        <w:t xml:space="preserve">  Granting juries the authori</w:t>
      </w:r>
      <w:r w:rsidR="00F6632B">
        <w:rPr>
          <w:rFonts w:cs="Times New Roman"/>
          <w:szCs w:val="24"/>
        </w:rPr>
        <w:t>ty to interpret law</w:t>
      </w:r>
      <w:r w:rsidR="0083033D">
        <w:rPr>
          <w:rFonts w:cs="Times New Roman"/>
          <w:szCs w:val="24"/>
        </w:rPr>
        <w:t xml:space="preserve"> will not displace executive discretion in application or judicial interpretation</w:t>
      </w:r>
      <w:r w:rsidR="00F6632B">
        <w:rPr>
          <w:rFonts w:cs="Times New Roman"/>
          <w:szCs w:val="24"/>
        </w:rPr>
        <w:t>, but granting juries the power to nullify</w:t>
      </w:r>
      <w:r w:rsidR="0083033D">
        <w:rPr>
          <w:rFonts w:cs="Times New Roman"/>
          <w:szCs w:val="24"/>
        </w:rPr>
        <w:t xml:space="preserve"> can </w:t>
      </w:r>
      <w:r w:rsidR="00F6632B">
        <w:rPr>
          <w:rFonts w:cs="Times New Roman"/>
          <w:szCs w:val="24"/>
        </w:rPr>
        <w:t xml:space="preserve">allow the citizen to </w:t>
      </w:r>
      <w:r w:rsidR="0083033D">
        <w:rPr>
          <w:rFonts w:cs="Times New Roman"/>
          <w:szCs w:val="24"/>
        </w:rPr>
        <w:t>serve a unique function</w:t>
      </w:r>
      <w:r w:rsidR="00F6632B">
        <w:rPr>
          <w:rFonts w:cs="Times New Roman"/>
          <w:szCs w:val="24"/>
        </w:rPr>
        <w:t xml:space="preserve">.  It allows the citizen to check </w:t>
      </w:r>
      <w:r w:rsidR="0083033D">
        <w:rPr>
          <w:rFonts w:cs="Times New Roman"/>
          <w:szCs w:val="24"/>
        </w:rPr>
        <w:t xml:space="preserve">oppressive applications of the law in cases in which formal construction of the law has destroyed its </w:t>
      </w:r>
      <w:r w:rsidR="008421EC">
        <w:rPr>
          <w:rFonts w:cs="Times New Roman"/>
          <w:szCs w:val="24"/>
        </w:rPr>
        <w:t>predictability</w:t>
      </w:r>
      <w:r w:rsidR="0083033D">
        <w:rPr>
          <w:rFonts w:cs="Times New Roman"/>
          <w:szCs w:val="24"/>
        </w:rPr>
        <w:t xml:space="preserve"> and distanced it from the very people it would govern.</w:t>
      </w:r>
    </w:p>
    <w:p w14:paraId="7FFEA340" w14:textId="43AE0834" w:rsidR="005B1AC8" w:rsidRDefault="00CE4193" w:rsidP="00740149">
      <w:pPr>
        <w:ind w:firstLine="720"/>
        <w:rPr>
          <w:rFonts w:cs="Times New Roman"/>
          <w:szCs w:val="24"/>
        </w:rPr>
      </w:pPr>
      <w:r>
        <w:rPr>
          <w:rFonts w:cs="Times New Roman"/>
          <w:szCs w:val="24"/>
        </w:rPr>
        <w:t xml:space="preserve">A </w:t>
      </w:r>
      <w:r w:rsidR="00251725">
        <w:rPr>
          <w:rFonts w:cs="Times New Roman"/>
          <w:szCs w:val="24"/>
        </w:rPr>
        <w:t xml:space="preserve">wider conception of law that draws meaning </w:t>
      </w:r>
      <w:r>
        <w:rPr>
          <w:rFonts w:cs="Times New Roman"/>
          <w:szCs w:val="24"/>
        </w:rPr>
        <w:t xml:space="preserve">both from formal sources and </w:t>
      </w:r>
      <w:r w:rsidR="00251725">
        <w:rPr>
          <w:rFonts w:cs="Times New Roman"/>
          <w:szCs w:val="24"/>
        </w:rPr>
        <w:t xml:space="preserve">from the </w:t>
      </w:r>
      <w:r w:rsidR="00740149">
        <w:rPr>
          <w:rFonts w:cs="Times New Roman"/>
          <w:szCs w:val="24"/>
        </w:rPr>
        <w:t>lives of the people who live under it</w:t>
      </w:r>
      <w:r>
        <w:rPr>
          <w:rFonts w:cs="Times New Roman"/>
          <w:szCs w:val="24"/>
        </w:rPr>
        <w:t xml:space="preserve"> may ultimately prove more useful in achiev</w:t>
      </w:r>
      <w:r w:rsidR="00F6632B">
        <w:rPr>
          <w:rFonts w:cs="Times New Roman"/>
          <w:szCs w:val="24"/>
        </w:rPr>
        <w:t>ing</w:t>
      </w:r>
      <w:r>
        <w:rPr>
          <w:rFonts w:cs="Times New Roman"/>
          <w:szCs w:val="24"/>
        </w:rPr>
        <w:t xml:space="preserve"> the underlying aims of </w:t>
      </w:r>
      <w:r w:rsidR="005C6D58">
        <w:rPr>
          <w:rFonts w:cs="Times New Roman"/>
          <w:szCs w:val="24"/>
        </w:rPr>
        <w:t>open governance</w:t>
      </w:r>
      <w:r w:rsidR="00014335">
        <w:rPr>
          <w:rFonts w:cs="Times New Roman"/>
          <w:szCs w:val="24"/>
        </w:rPr>
        <w:t xml:space="preserve"> than reliance on formal sources alone</w:t>
      </w:r>
      <w:r w:rsidR="00740149">
        <w:rPr>
          <w:rFonts w:cs="Times New Roman"/>
          <w:szCs w:val="24"/>
        </w:rPr>
        <w:t xml:space="preserve">. </w:t>
      </w:r>
      <w:r w:rsidR="003F25CC">
        <w:rPr>
          <w:rFonts w:cs="Times New Roman"/>
          <w:szCs w:val="24"/>
        </w:rPr>
        <w:t>W</w:t>
      </w:r>
      <w:r w:rsidR="00835A61">
        <w:rPr>
          <w:rFonts w:cs="Times New Roman"/>
          <w:szCs w:val="24"/>
        </w:rPr>
        <w:t xml:space="preserve">hat the law </w:t>
      </w:r>
      <w:r w:rsidR="005C6D58">
        <w:rPr>
          <w:rFonts w:cs="Times New Roman"/>
          <w:szCs w:val="24"/>
        </w:rPr>
        <w:t xml:space="preserve">may </w:t>
      </w:r>
      <w:r w:rsidR="00835A61">
        <w:rPr>
          <w:rFonts w:cs="Times New Roman"/>
          <w:szCs w:val="24"/>
        </w:rPr>
        <w:t>lose</w:t>
      </w:r>
      <w:r w:rsidR="00740149">
        <w:rPr>
          <w:rFonts w:cs="Times New Roman"/>
          <w:szCs w:val="24"/>
        </w:rPr>
        <w:t xml:space="preserve"> </w:t>
      </w:r>
      <w:r w:rsidR="005B1AC8">
        <w:rPr>
          <w:rFonts w:cs="Times New Roman"/>
          <w:szCs w:val="24"/>
        </w:rPr>
        <w:t xml:space="preserve">in terms </w:t>
      </w:r>
      <w:r w:rsidR="00740149">
        <w:rPr>
          <w:rFonts w:cs="Times New Roman"/>
          <w:szCs w:val="24"/>
        </w:rPr>
        <w:t>of consistency</w:t>
      </w:r>
      <w:r w:rsidR="00835A61">
        <w:rPr>
          <w:rFonts w:cs="Times New Roman"/>
          <w:szCs w:val="24"/>
        </w:rPr>
        <w:t xml:space="preserve"> in </w:t>
      </w:r>
      <w:r w:rsidR="00740149">
        <w:rPr>
          <w:rFonts w:cs="Times New Roman"/>
          <w:szCs w:val="24"/>
        </w:rPr>
        <w:t>it gains by acquiring a meaning that resonates with the citizen’s expectation of government and larger principles of justice.</w:t>
      </w:r>
      <w:r w:rsidR="00740149">
        <w:rPr>
          <w:rStyle w:val="Appelnotedebasdep"/>
          <w:rFonts w:cs="Times New Roman"/>
          <w:szCs w:val="24"/>
        </w:rPr>
        <w:footnoteReference w:id="12"/>
      </w:r>
      <w:r w:rsidR="00740149">
        <w:rPr>
          <w:rFonts w:cs="Times New Roman"/>
          <w:szCs w:val="24"/>
        </w:rPr>
        <w:t xml:space="preserve">  The moment of </w:t>
      </w:r>
      <w:r w:rsidR="00954AB4">
        <w:rPr>
          <w:rFonts w:cs="Times New Roman"/>
          <w:szCs w:val="24"/>
        </w:rPr>
        <w:t>law-making</w:t>
      </w:r>
      <w:r w:rsidR="00740149">
        <w:rPr>
          <w:rFonts w:cs="Times New Roman"/>
          <w:szCs w:val="24"/>
        </w:rPr>
        <w:t xml:space="preserve"> </w:t>
      </w:r>
      <w:r w:rsidR="005B1AC8">
        <w:rPr>
          <w:rFonts w:cs="Times New Roman"/>
          <w:szCs w:val="24"/>
        </w:rPr>
        <w:t>never truly ceases.</w:t>
      </w:r>
      <w:r w:rsidR="00F6632B">
        <w:rPr>
          <w:rFonts w:cs="Times New Roman"/>
          <w:szCs w:val="24"/>
        </w:rPr>
        <w:t xml:space="preserve"> </w:t>
      </w:r>
      <w:r w:rsidR="00835A61">
        <w:rPr>
          <w:rFonts w:cs="Times New Roman"/>
          <w:szCs w:val="24"/>
        </w:rPr>
        <w:t xml:space="preserve"> </w:t>
      </w:r>
      <w:r w:rsidR="005B1AC8">
        <w:rPr>
          <w:rFonts w:cs="Times New Roman"/>
          <w:szCs w:val="24"/>
        </w:rPr>
        <w:t xml:space="preserve">It is </w:t>
      </w:r>
      <w:r w:rsidR="00740149">
        <w:rPr>
          <w:rFonts w:cs="Times New Roman"/>
          <w:szCs w:val="24"/>
        </w:rPr>
        <w:t>no longer confined to the rules, statutes, or their formal application or interpretation</w:t>
      </w:r>
      <w:r w:rsidR="005B1AC8">
        <w:rPr>
          <w:rFonts w:cs="Times New Roman"/>
          <w:szCs w:val="24"/>
        </w:rPr>
        <w:t>; rather–</w:t>
      </w:r>
      <w:r w:rsidR="00835A61">
        <w:rPr>
          <w:rFonts w:cs="Times New Roman"/>
          <w:szCs w:val="24"/>
        </w:rPr>
        <w:t xml:space="preserve"> t</w:t>
      </w:r>
      <w:r w:rsidR="00740149">
        <w:rPr>
          <w:rFonts w:cs="Times New Roman"/>
          <w:szCs w:val="24"/>
        </w:rPr>
        <w:t xml:space="preserve">he law evolves and is shaped each day by the lives it governs and their attempts to reconcile their own principles and expectations with its written word.  </w:t>
      </w:r>
    </w:p>
    <w:p w14:paraId="66C9BB32" w14:textId="77777777" w:rsidR="00740149" w:rsidRPr="004C22AC" w:rsidRDefault="00740149" w:rsidP="00740149">
      <w:pPr>
        <w:ind w:firstLine="720"/>
        <w:rPr>
          <w:rFonts w:cs="Times New Roman"/>
          <w:szCs w:val="24"/>
        </w:rPr>
      </w:pPr>
      <w:r>
        <w:rPr>
          <w:rFonts w:cs="Times New Roman"/>
          <w:szCs w:val="24"/>
        </w:rPr>
        <w:t xml:space="preserve">This is not to say </w:t>
      </w:r>
      <w:r w:rsidR="00835A61">
        <w:rPr>
          <w:rFonts w:cs="Times New Roman"/>
          <w:szCs w:val="24"/>
        </w:rPr>
        <w:t>that the law</w:t>
      </w:r>
      <w:r>
        <w:rPr>
          <w:rFonts w:cs="Times New Roman"/>
          <w:szCs w:val="24"/>
        </w:rPr>
        <w:t xml:space="preserve"> is not without </w:t>
      </w:r>
      <w:r w:rsidR="00251725">
        <w:rPr>
          <w:rFonts w:cs="Times New Roman"/>
          <w:szCs w:val="24"/>
        </w:rPr>
        <w:t>a point of reference</w:t>
      </w:r>
      <w:r>
        <w:rPr>
          <w:rFonts w:cs="Times New Roman"/>
          <w:szCs w:val="24"/>
        </w:rPr>
        <w:t xml:space="preserve">.  The shared history of the law – its writing, its prior application, its prior interpretation as precedent – all simultaneously offer a starting point for those who would ground the law in their own lives.  But in moments when this history’s application is inconsistent with the citizen’s notion of the purpose of the law itself, he is not bound to rigidly and unthinkingly apply the law.  Instead, a new construction of meaning is possible.  </w:t>
      </w:r>
    </w:p>
    <w:p w14:paraId="641F4B32" w14:textId="77777777" w:rsidR="00D06DC7" w:rsidRDefault="00740149" w:rsidP="00795DA6">
      <w:pPr>
        <w:ind w:firstLine="720"/>
        <w:rPr>
          <w:rFonts w:cs="Times New Roman"/>
          <w:szCs w:val="24"/>
        </w:rPr>
      </w:pPr>
      <w:r>
        <w:rPr>
          <w:rFonts w:cs="Times New Roman"/>
          <w:szCs w:val="24"/>
        </w:rPr>
        <w:t xml:space="preserve">The law, thus reconstructed, ceases to be a distant body and becomes a living part of our </w:t>
      </w:r>
      <w:r>
        <w:rPr>
          <w:rFonts w:cs="Times New Roman"/>
          <w:i/>
          <w:szCs w:val="24"/>
        </w:rPr>
        <w:t>nomos</w:t>
      </w:r>
      <w:r w:rsidR="00014335">
        <w:rPr>
          <w:rFonts w:cs="Times New Roman"/>
          <w:i/>
          <w:szCs w:val="24"/>
        </w:rPr>
        <w:t xml:space="preserve"> </w:t>
      </w:r>
      <w:r w:rsidR="00014335">
        <w:rPr>
          <w:rFonts w:cs="Times New Roman"/>
          <w:szCs w:val="24"/>
        </w:rPr>
        <w:t>our widely shared and deeply held social norms of our community.</w:t>
      </w:r>
      <w:r w:rsidR="008F2A9B">
        <w:rPr>
          <w:rStyle w:val="Appelnotedebasdep"/>
          <w:rFonts w:cs="Times New Roman"/>
          <w:szCs w:val="24"/>
        </w:rPr>
        <w:footnoteReference w:id="13"/>
      </w:r>
      <w:r w:rsidR="00014335">
        <w:rPr>
          <w:rFonts w:cs="Times New Roman"/>
          <w:szCs w:val="24"/>
        </w:rPr>
        <w:t xml:space="preserve">  These norms construct our expectations about what behavior is permissible and what is forbidden.  They form the basis of our belief systems and sense of justice.</w:t>
      </w:r>
      <w:r w:rsidR="00014335">
        <w:rPr>
          <w:rStyle w:val="Appelnotedebasdep"/>
          <w:rFonts w:cs="Times New Roman"/>
          <w:szCs w:val="24"/>
        </w:rPr>
        <w:footnoteReference w:id="14"/>
      </w:r>
      <w:r>
        <w:rPr>
          <w:rFonts w:cs="Times New Roman"/>
          <w:szCs w:val="24"/>
        </w:rPr>
        <w:t xml:space="preserve">  The written </w:t>
      </w:r>
      <w:r>
        <w:rPr>
          <w:rFonts w:cs="Times New Roman"/>
          <w:szCs w:val="24"/>
        </w:rPr>
        <w:lastRenderedPageBreak/>
        <w:t xml:space="preserve">law is integrated so that it fits in the spaces of the citizens’ lives.  The law takes on a meaning that encompasses not only the words written, applied and interpreted by the formal government, but </w:t>
      </w:r>
      <w:r w:rsidR="005B1AC8">
        <w:rPr>
          <w:rFonts w:cs="Times New Roman"/>
          <w:szCs w:val="24"/>
        </w:rPr>
        <w:t xml:space="preserve">also </w:t>
      </w:r>
      <w:r>
        <w:rPr>
          <w:rFonts w:cs="Times New Roman"/>
          <w:szCs w:val="24"/>
        </w:rPr>
        <w:t xml:space="preserve">the </w:t>
      </w:r>
      <w:r w:rsidR="008421EC">
        <w:rPr>
          <w:rFonts w:cs="Times New Roman"/>
          <w:szCs w:val="24"/>
        </w:rPr>
        <w:t>cultural</w:t>
      </w:r>
      <w:r w:rsidR="00014335">
        <w:rPr>
          <w:rFonts w:cs="Times New Roman"/>
          <w:szCs w:val="24"/>
        </w:rPr>
        <w:t xml:space="preserve"> norms and expectations of</w:t>
      </w:r>
      <w:r>
        <w:rPr>
          <w:rFonts w:cs="Times New Roman"/>
          <w:szCs w:val="24"/>
        </w:rPr>
        <w:t xml:space="preserve"> the community it commands.</w:t>
      </w:r>
      <w:r>
        <w:rPr>
          <w:rStyle w:val="Appelnotedebasdep"/>
          <w:rFonts w:cs="Times New Roman"/>
          <w:szCs w:val="24"/>
        </w:rPr>
        <w:footnoteReference w:id="15"/>
      </w:r>
      <w:r>
        <w:rPr>
          <w:rFonts w:cs="Times New Roman"/>
          <w:szCs w:val="24"/>
        </w:rPr>
        <w:t xml:space="preserve">  When one conceives of the </w:t>
      </w:r>
      <w:r w:rsidR="00014335">
        <w:rPr>
          <w:rFonts w:cs="Times New Roman"/>
          <w:szCs w:val="24"/>
        </w:rPr>
        <w:t>r</w:t>
      </w:r>
      <w:r w:rsidR="00B6090E">
        <w:rPr>
          <w:rFonts w:cs="Times New Roman"/>
          <w:szCs w:val="24"/>
        </w:rPr>
        <w:t>ule of law</w:t>
      </w:r>
      <w:r>
        <w:rPr>
          <w:rFonts w:cs="Times New Roman"/>
          <w:szCs w:val="24"/>
        </w:rPr>
        <w:t xml:space="preserve"> as </w:t>
      </w:r>
      <w:r w:rsidRPr="00B11D8D">
        <w:rPr>
          <w:rFonts w:cs="Times New Roman"/>
          <w:i/>
          <w:szCs w:val="24"/>
        </w:rPr>
        <w:t>nomos</w:t>
      </w:r>
      <w:r w:rsidR="001E6814">
        <w:rPr>
          <w:rFonts w:cs="Times New Roman"/>
          <w:szCs w:val="24"/>
        </w:rPr>
        <w:t>,</w:t>
      </w:r>
      <w:r w:rsidR="008C4F5C">
        <w:rPr>
          <w:rFonts w:cs="Times New Roman"/>
          <w:szCs w:val="24"/>
        </w:rPr>
        <w:t xml:space="preserve"> </w:t>
      </w:r>
      <w:r>
        <w:rPr>
          <w:rFonts w:cs="Times New Roman"/>
          <w:szCs w:val="24"/>
        </w:rPr>
        <w:t>the line around the formal and positive construction of law blurs</w:t>
      </w:r>
      <w:r w:rsidR="00014335">
        <w:rPr>
          <w:rFonts w:cs="Times New Roman"/>
          <w:szCs w:val="24"/>
        </w:rPr>
        <w:t xml:space="preserve"> and opens to a broader possibility of meaning</w:t>
      </w:r>
      <w:r>
        <w:rPr>
          <w:rFonts w:cs="Times New Roman"/>
          <w:szCs w:val="24"/>
        </w:rPr>
        <w:t xml:space="preserve">. </w:t>
      </w:r>
      <w:r w:rsidRPr="00B11D8D">
        <w:rPr>
          <w:rFonts w:cs="Times New Roman"/>
          <w:szCs w:val="24"/>
        </w:rPr>
        <w:t xml:space="preserve"> </w:t>
      </w:r>
      <w:r>
        <w:rPr>
          <w:rFonts w:cs="Times New Roman"/>
          <w:szCs w:val="24"/>
        </w:rPr>
        <w:t xml:space="preserve">The rules, statutes and formalized interpretation still exist, but they are only part of an ongoing process of recognition.  </w:t>
      </w:r>
    </w:p>
    <w:p w14:paraId="1F94BBCC" w14:textId="77777777" w:rsidR="00D06DC7" w:rsidRDefault="00740149" w:rsidP="00795DA6">
      <w:pPr>
        <w:ind w:firstLine="720"/>
        <w:rPr>
          <w:rFonts w:cs="Times New Roman"/>
          <w:szCs w:val="24"/>
        </w:rPr>
      </w:pPr>
      <w:r w:rsidRPr="00B11D8D">
        <w:rPr>
          <w:rFonts w:cs="Times New Roman"/>
          <w:szCs w:val="24"/>
        </w:rPr>
        <w:t>In this normative world the line betwe</w:t>
      </w:r>
      <w:r w:rsidR="002A5219">
        <w:rPr>
          <w:rFonts w:cs="Times New Roman"/>
          <w:szCs w:val="24"/>
        </w:rPr>
        <w:t>en law and unlawful</w:t>
      </w:r>
      <w:r w:rsidRPr="00B11D8D">
        <w:rPr>
          <w:rFonts w:cs="Times New Roman"/>
          <w:szCs w:val="24"/>
        </w:rPr>
        <w:t xml:space="preserve"> is constantly made, challenged</w:t>
      </w:r>
      <w:r w:rsidR="002A5219">
        <w:rPr>
          <w:rFonts w:cs="Times New Roman"/>
          <w:szCs w:val="24"/>
        </w:rPr>
        <w:t>,</w:t>
      </w:r>
      <w:r w:rsidRPr="00B11D8D">
        <w:rPr>
          <w:rFonts w:cs="Times New Roman"/>
          <w:szCs w:val="24"/>
        </w:rPr>
        <w:t xml:space="preserve"> and maintained.  This line is defined by the narratives </w:t>
      </w:r>
      <w:r w:rsidR="00014335">
        <w:rPr>
          <w:rFonts w:cs="Times New Roman"/>
          <w:szCs w:val="24"/>
        </w:rPr>
        <w:t xml:space="preserve">and cultural norms </w:t>
      </w:r>
      <w:r w:rsidRPr="00B11D8D">
        <w:rPr>
          <w:rFonts w:cs="Times New Roman"/>
          <w:szCs w:val="24"/>
        </w:rPr>
        <w:t>that locate it.  In one community, it may exist in one form; in another its meaning shifts to be previously unrecognizable.</w:t>
      </w:r>
      <w:r>
        <w:rPr>
          <w:rStyle w:val="Appelnotedebasdep"/>
          <w:rFonts w:cs="Times New Roman"/>
          <w:szCs w:val="24"/>
        </w:rPr>
        <w:footnoteReference w:id="16"/>
      </w:r>
      <w:r w:rsidRPr="00B11D8D">
        <w:rPr>
          <w:rFonts w:cs="Times New Roman"/>
          <w:szCs w:val="24"/>
        </w:rPr>
        <w:t xml:space="preserve">  The governed ground the law in their</w:t>
      </w:r>
      <w:r>
        <w:rPr>
          <w:rFonts w:cs="Times New Roman"/>
          <w:szCs w:val="24"/>
        </w:rPr>
        <w:t xml:space="preserve"> </w:t>
      </w:r>
      <w:r w:rsidRPr="00B11D8D">
        <w:rPr>
          <w:rFonts w:cs="Times New Roman"/>
          <w:szCs w:val="24"/>
        </w:rPr>
        <w:t>lives</w:t>
      </w:r>
      <w:r w:rsidR="00251725">
        <w:rPr>
          <w:rFonts w:cs="Times New Roman"/>
          <w:szCs w:val="24"/>
        </w:rPr>
        <w:t xml:space="preserve"> and in the process their relationship with the government is altered.  </w:t>
      </w:r>
      <w:r w:rsidR="001E6814">
        <w:rPr>
          <w:rFonts w:cs="Times New Roman"/>
          <w:szCs w:val="24"/>
        </w:rPr>
        <w:t xml:space="preserve">In doing so, we as </w:t>
      </w:r>
      <w:r w:rsidR="00251725">
        <w:rPr>
          <w:rFonts w:cs="Times New Roman"/>
          <w:szCs w:val="24"/>
        </w:rPr>
        <w:t>citizen</w:t>
      </w:r>
      <w:r w:rsidR="001E6814">
        <w:rPr>
          <w:rFonts w:cs="Times New Roman"/>
          <w:szCs w:val="24"/>
        </w:rPr>
        <w:t>s</w:t>
      </w:r>
      <w:r w:rsidR="00251725">
        <w:rPr>
          <w:rFonts w:cs="Times New Roman"/>
          <w:szCs w:val="24"/>
        </w:rPr>
        <w:t xml:space="preserve"> accept an active role.</w:t>
      </w:r>
      <w:r>
        <w:rPr>
          <w:rFonts w:cs="Times New Roman"/>
          <w:szCs w:val="24"/>
        </w:rPr>
        <w:t xml:space="preserve">  We must discern our principles and compel the law to act upon them.</w:t>
      </w:r>
      <w:r>
        <w:rPr>
          <w:rStyle w:val="Appelnotedebasdep"/>
          <w:rFonts w:cs="Times New Roman"/>
          <w:szCs w:val="24"/>
        </w:rPr>
        <w:footnoteReference w:id="17"/>
      </w:r>
      <w:r>
        <w:rPr>
          <w:rFonts w:cs="Times New Roman"/>
          <w:szCs w:val="24"/>
        </w:rPr>
        <w:t xml:space="preserve">  W</w:t>
      </w:r>
      <w:r w:rsidR="00251725">
        <w:rPr>
          <w:rFonts w:cs="Times New Roman"/>
          <w:szCs w:val="24"/>
        </w:rPr>
        <w:t xml:space="preserve">e recognize that a true </w:t>
      </w:r>
      <w:r w:rsidR="00014335">
        <w:rPr>
          <w:rFonts w:cs="Times New Roman"/>
          <w:szCs w:val="24"/>
        </w:rPr>
        <w:t>r</w:t>
      </w:r>
      <w:r w:rsidR="00B6090E">
        <w:rPr>
          <w:rFonts w:cs="Times New Roman"/>
          <w:szCs w:val="24"/>
        </w:rPr>
        <w:t>ule of law</w:t>
      </w:r>
      <w:r>
        <w:rPr>
          <w:rFonts w:cs="Times New Roman"/>
          <w:szCs w:val="24"/>
        </w:rPr>
        <w:t xml:space="preserve"> requires more than mere mechanical application of the law without reference to larger world in which it exists.</w:t>
      </w:r>
      <w:r>
        <w:rPr>
          <w:rStyle w:val="Appelnotedebasdep"/>
          <w:rFonts w:cs="Times New Roman"/>
          <w:szCs w:val="24"/>
        </w:rPr>
        <w:footnoteReference w:id="18"/>
      </w:r>
      <w:r>
        <w:rPr>
          <w:rFonts w:cs="Times New Roman"/>
          <w:szCs w:val="24"/>
        </w:rPr>
        <w:t xml:space="preserve"> </w:t>
      </w:r>
      <w:r w:rsidRPr="00B11D8D">
        <w:rPr>
          <w:rFonts w:cs="Times New Roman"/>
          <w:szCs w:val="24"/>
        </w:rPr>
        <w:t xml:space="preserve"> We gather the meaning passed to us by the formal government, and we hold this meaning side-by-side to our own understanding</w:t>
      </w:r>
      <w:r w:rsidR="00014335">
        <w:rPr>
          <w:rFonts w:cs="Times New Roman"/>
          <w:szCs w:val="24"/>
        </w:rPr>
        <w:t xml:space="preserve"> and expectation</w:t>
      </w:r>
      <w:r w:rsidRPr="00B11D8D">
        <w:rPr>
          <w:rFonts w:cs="Times New Roman"/>
          <w:szCs w:val="24"/>
        </w:rPr>
        <w:t xml:space="preserve">.  </w:t>
      </w:r>
      <w:r w:rsidR="00732D34">
        <w:rPr>
          <w:rFonts w:cs="Times New Roman"/>
          <w:szCs w:val="24"/>
        </w:rPr>
        <w:t>T</w:t>
      </w:r>
      <w:r w:rsidRPr="00B11D8D">
        <w:rPr>
          <w:rFonts w:cs="Times New Roman"/>
          <w:szCs w:val="24"/>
        </w:rPr>
        <w:t xml:space="preserve">here may be little divergence between the two.  We may accept the law as delivered, thankful that some other force did the heavy lifting of law-creation.  But other times, this comparison may confound our </w:t>
      </w:r>
      <w:r w:rsidR="00014335">
        <w:rPr>
          <w:rFonts w:cs="Times New Roman"/>
          <w:szCs w:val="24"/>
        </w:rPr>
        <w:t>sense of social norms</w:t>
      </w:r>
      <w:r w:rsidRPr="00B11D8D">
        <w:rPr>
          <w:rFonts w:cs="Times New Roman"/>
          <w:szCs w:val="24"/>
        </w:rPr>
        <w:t xml:space="preserve">.  </w:t>
      </w:r>
      <w:r w:rsidR="00795DA6">
        <w:rPr>
          <w:rFonts w:cs="Times New Roman"/>
          <w:szCs w:val="24"/>
        </w:rPr>
        <w:t>In</w:t>
      </w:r>
      <w:r w:rsidR="00014335">
        <w:rPr>
          <w:rFonts w:cs="Times New Roman"/>
          <w:szCs w:val="24"/>
        </w:rPr>
        <w:t xml:space="preserve"> these moments when our </w:t>
      </w:r>
      <w:r w:rsidR="00014335" w:rsidRPr="005D771D">
        <w:rPr>
          <w:rFonts w:cs="Times New Roman"/>
          <w:i/>
          <w:szCs w:val="24"/>
        </w:rPr>
        <w:t>nomos</w:t>
      </w:r>
      <w:r w:rsidR="00014335">
        <w:rPr>
          <w:rFonts w:cs="Times New Roman"/>
          <w:szCs w:val="24"/>
        </w:rPr>
        <w:t xml:space="preserve">, our widely shared and deeply held norms of our community, </w:t>
      </w:r>
      <w:r w:rsidRPr="00B11D8D">
        <w:rPr>
          <w:rFonts w:cs="Times New Roman"/>
          <w:szCs w:val="24"/>
        </w:rPr>
        <w:t xml:space="preserve">ring discordant </w:t>
      </w:r>
      <w:r w:rsidR="00795DA6">
        <w:rPr>
          <w:rFonts w:cs="Times New Roman"/>
          <w:szCs w:val="24"/>
        </w:rPr>
        <w:t xml:space="preserve">with positive law, </w:t>
      </w:r>
      <w:r w:rsidR="002A5219">
        <w:rPr>
          <w:rFonts w:cs="Times New Roman"/>
          <w:szCs w:val="24"/>
        </w:rPr>
        <w:t>our</w:t>
      </w:r>
      <w:r w:rsidR="00795DA6">
        <w:rPr>
          <w:rFonts w:cs="Times New Roman"/>
          <w:szCs w:val="24"/>
        </w:rPr>
        <w:t xml:space="preserve"> social norms likely provide a better guide to the “law in action” than the “law on the books”.</w:t>
      </w:r>
      <w:r w:rsidR="00795DA6">
        <w:rPr>
          <w:rStyle w:val="Appelnotedebasdep"/>
          <w:rFonts w:cs="Times New Roman"/>
          <w:szCs w:val="24"/>
        </w:rPr>
        <w:footnoteReference w:id="19"/>
      </w:r>
      <w:r w:rsidR="005E473D">
        <w:rPr>
          <w:rFonts w:cs="Times New Roman"/>
          <w:szCs w:val="24"/>
        </w:rPr>
        <w:t xml:space="preserve">  In these times of disconnect, t</w:t>
      </w:r>
      <w:r w:rsidR="002A5219">
        <w:rPr>
          <w:rFonts w:cs="Times New Roman"/>
          <w:szCs w:val="24"/>
        </w:rPr>
        <w:t>he legitimacy of the law may be undermined by the resulting uncertainties</w:t>
      </w:r>
      <w:r w:rsidR="005E473D">
        <w:rPr>
          <w:rFonts w:cs="Times New Roman"/>
          <w:szCs w:val="24"/>
        </w:rPr>
        <w:t xml:space="preserve">.  </w:t>
      </w:r>
    </w:p>
    <w:p w14:paraId="27F5338A" w14:textId="77777777" w:rsidR="008F2A9B" w:rsidRDefault="002A5219" w:rsidP="00795DA6">
      <w:pPr>
        <w:ind w:firstLine="720"/>
        <w:rPr>
          <w:rFonts w:cs="Times New Roman"/>
          <w:szCs w:val="24"/>
        </w:rPr>
      </w:pPr>
      <w:r>
        <w:rPr>
          <w:rFonts w:cs="Times New Roman"/>
          <w:szCs w:val="24"/>
        </w:rPr>
        <w:t xml:space="preserve">When law and communal values no longer </w:t>
      </w:r>
      <w:r w:rsidR="001A055C">
        <w:rPr>
          <w:rFonts w:cs="Times New Roman"/>
          <w:szCs w:val="24"/>
        </w:rPr>
        <w:t>align, one</w:t>
      </w:r>
      <w:r w:rsidR="005E473D">
        <w:rPr>
          <w:rFonts w:cs="Times New Roman"/>
          <w:szCs w:val="24"/>
        </w:rPr>
        <w:t xml:space="preserve"> possibility is that the police will not arrest; the prosecutors will not bring charges, and even if they do, the juries will </w:t>
      </w:r>
      <w:r w:rsidR="005E473D">
        <w:rPr>
          <w:rFonts w:cs="Times New Roman"/>
          <w:szCs w:val="24"/>
        </w:rPr>
        <w:lastRenderedPageBreak/>
        <w:t xml:space="preserve">not convict.  In this scenario the authority of the law is undermined by a wholesale refusal to accept the law as present.  Another possibility produces equally uncertain results, police and prosecutors will pick and </w:t>
      </w:r>
      <w:r w:rsidR="008421EC">
        <w:rPr>
          <w:rFonts w:cs="Times New Roman"/>
          <w:szCs w:val="24"/>
        </w:rPr>
        <w:t>choose</w:t>
      </w:r>
      <w:r w:rsidR="005E473D">
        <w:rPr>
          <w:rFonts w:cs="Times New Roman"/>
          <w:szCs w:val="24"/>
        </w:rPr>
        <w:t xml:space="preserve"> among cases for enforcement and juries will sometimes convict and sometimes acquit.  </w:t>
      </w:r>
      <w:r w:rsidR="008F2A9B">
        <w:rPr>
          <w:rFonts w:cs="Times New Roman"/>
          <w:szCs w:val="24"/>
        </w:rPr>
        <w:t>In either case, the goal of a reliable, certain</w:t>
      </w:r>
      <w:r>
        <w:rPr>
          <w:rFonts w:cs="Times New Roman"/>
          <w:szCs w:val="24"/>
        </w:rPr>
        <w:t>,</w:t>
      </w:r>
      <w:r w:rsidR="008F2A9B">
        <w:rPr>
          <w:rFonts w:cs="Times New Roman"/>
          <w:szCs w:val="24"/>
        </w:rPr>
        <w:t xml:space="preserve"> and predictable law which girds the rule of law is undermined by strict reliance on positive law.</w:t>
      </w:r>
    </w:p>
    <w:p w14:paraId="04C6F1FB" w14:textId="77777777" w:rsidR="00740149" w:rsidRDefault="008F2A9B" w:rsidP="004E45FE">
      <w:pPr>
        <w:ind w:firstLine="720"/>
        <w:rPr>
          <w:rFonts w:cs="Times New Roman"/>
          <w:szCs w:val="24"/>
        </w:rPr>
      </w:pPr>
      <w:r>
        <w:rPr>
          <w:rFonts w:cs="Times New Roman"/>
          <w:szCs w:val="24"/>
        </w:rPr>
        <w:t xml:space="preserve">In these moments of disconnect between the </w:t>
      </w:r>
      <w:r w:rsidRPr="004E45FE">
        <w:rPr>
          <w:rFonts w:cs="Times New Roman"/>
          <w:i/>
          <w:szCs w:val="24"/>
        </w:rPr>
        <w:t>nomos</w:t>
      </w:r>
      <w:r>
        <w:rPr>
          <w:rFonts w:cs="Times New Roman"/>
          <w:szCs w:val="24"/>
        </w:rPr>
        <w:t xml:space="preserve"> and the positive law, giving the jury the power to nullify may actually increase the predictability of the law</w:t>
      </w:r>
      <w:r w:rsidR="002A5219">
        <w:rPr>
          <w:rFonts w:cs="Times New Roman"/>
          <w:szCs w:val="24"/>
        </w:rPr>
        <w:t xml:space="preserve"> by seeking to realign the law with prevailing community values and expectations of the law</w:t>
      </w:r>
      <w:r>
        <w:rPr>
          <w:rFonts w:cs="Times New Roman"/>
          <w:szCs w:val="24"/>
        </w:rPr>
        <w:t xml:space="preserve">.  The nullified verdicts communicate to the formal branches of government that the </w:t>
      </w:r>
      <w:r w:rsidR="002A5219">
        <w:rPr>
          <w:rFonts w:cs="Times New Roman"/>
          <w:szCs w:val="24"/>
        </w:rPr>
        <w:t xml:space="preserve">citizenry will not </w:t>
      </w:r>
      <w:r>
        <w:rPr>
          <w:rFonts w:cs="Times New Roman"/>
          <w:szCs w:val="24"/>
        </w:rPr>
        <w:t xml:space="preserve">sanction the enforcement and application of laws that </w:t>
      </w:r>
      <w:r w:rsidR="002A5219">
        <w:rPr>
          <w:rFonts w:cs="Times New Roman"/>
          <w:szCs w:val="24"/>
        </w:rPr>
        <w:t>are not aligned with the social norms and morality of the community.</w:t>
      </w:r>
      <w:r w:rsidR="004E45FE">
        <w:rPr>
          <w:rFonts w:cs="Times New Roman"/>
          <w:szCs w:val="24"/>
        </w:rPr>
        <w:t xml:space="preserve">  </w:t>
      </w:r>
      <w:r w:rsidR="00732D34">
        <w:rPr>
          <w:rFonts w:cs="Times New Roman"/>
          <w:szCs w:val="24"/>
        </w:rPr>
        <w:t>In the process</w:t>
      </w:r>
      <w:r w:rsidR="002A5219">
        <w:rPr>
          <w:rFonts w:cs="Times New Roman"/>
          <w:szCs w:val="24"/>
        </w:rPr>
        <w:t>,</w:t>
      </w:r>
      <w:r w:rsidR="00732D34">
        <w:rPr>
          <w:rFonts w:cs="Times New Roman"/>
          <w:szCs w:val="24"/>
        </w:rPr>
        <w:t xml:space="preserve"> </w:t>
      </w:r>
      <w:r w:rsidR="00740149" w:rsidRPr="00B11D8D">
        <w:rPr>
          <w:rFonts w:cs="Times New Roman"/>
          <w:szCs w:val="24"/>
        </w:rPr>
        <w:t>a new possibility of interpretation</w:t>
      </w:r>
      <w:r w:rsidR="00732D34">
        <w:rPr>
          <w:rFonts w:cs="Times New Roman"/>
          <w:szCs w:val="24"/>
        </w:rPr>
        <w:t xml:space="preserve"> emerges</w:t>
      </w:r>
      <w:r w:rsidR="00740149" w:rsidRPr="00B11D8D">
        <w:rPr>
          <w:rFonts w:cs="Times New Roman"/>
          <w:szCs w:val="24"/>
        </w:rPr>
        <w:t>, drawn not from those who constructed the law in the formal branches, but from those who live each day under the law.</w:t>
      </w:r>
      <w:r w:rsidR="00740149" w:rsidRPr="00B11D8D">
        <w:rPr>
          <w:rStyle w:val="Appelnotedebasdep"/>
          <w:rFonts w:cs="Times New Roman"/>
          <w:szCs w:val="24"/>
        </w:rPr>
        <w:footnoteReference w:id="20"/>
      </w:r>
      <w:r w:rsidR="00740149" w:rsidRPr="00B11D8D">
        <w:rPr>
          <w:rFonts w:cs="Times New Roman"/>
          <w:szCs w:val="24"/>
        </w:rPr>
        <w:t xml:space="preserve"> </w:t>
      </w:r>
    </w:p>
    <w:p w14:paraId="60820FB0" w14:textId="028F0884" w:rsidR="000628BB" w:rsidRPr="00CB06E8" w:rsidRDefault="00740149" w:rsidP="005C6D58">
      <w:pPr>
        <w:ind w:firstLine="720"/>
      </w:pPr>
      <w:r>
        <w:rPr>
          <w:rFonts w:cs="Times New Roman"/>
          <w:szCs w:val="24"/>
        </w:rPr>
        <w:t>Contextualized in the history of dem</w:t>
      </w:r>
      <w:r w:rsidR="00251725">
        <w:rPr>
          <w:rFonts w:cs="Times New Roman"/>
          <w:szCs w:val="24"/>
        </w:rPr>
        <w:t xml:space="preserve">ocracy, </w:t>
      </w:r>
      <w:r w:rsidR="00D06EC4">
        <w:rPr>
          <w:rFonts w:cs="Times New Roman"/>
          <w:szCs w:val="24"/>
        </w:rPr>
        <w:t xml:space="preserve">there is no small irony in understanding </w:t>
      </w:r>
      <w:r w:rsidR="00251725">
        <w:rPr>
          <w:rFonts w:cs="Times New Roman"/>
          <w:szCs w:val="24"/>
        </w:rPr>
        <w:t xml:space="preserve">the law </w:t>
      </w:r>
      <w:r w:rsidR="005C6D58">
        <w:rPr>
          <w:rFonts w:cs="Times New Roman"/>
          <w:szCs w:val="24"/>
        </w:rPr>
        <w:t xml:space="preserve">and government </w:t>
      </w:r>
      <w:r w:rsidR="00251725">
        <w:rPr>
          <w:rFonts w:cs="Times New Roman"/>
          <w:szCs w:val="24"/>
        </w:rPr>
        <w:t xml:space="preserve">itself </w:t>
      </w:r>
      <w:r w:rsidR="004E45FE">
        <w:rPr>
          <w:rFonts w:cs="Times New Roman"/>
          <w:szCs w:val="24"/>
        </w:rPr>
        <w:t>as requiring a fidelity to shared communal values</w:t>
      </w:r>
      <w:r>
        <w:rPr>
          <w:rFonts w:cs="Times New Roman"/>
          <w:szCs w:val="24"/>
        </w:rPr>
        <w:t xml:space="preserve">. </w:t>
      </w:r>
    </w:p>
    <w:p w14:paraId="78A0CFFD" w14:textId="20C3D29D" w:rsidR="00505F20" w:rsidRDefault="00BC5C4B" w:rsidP="007B0E28">
      <w:pPr>
        <w:ind w:firstLine="720"/>
        <w:rPr>
          <w:rFonts w:cs="Times New Roman"/>
          <w:szCs w:val="24"/>
        </w:rPr>
      </w:pPr>
      <w:r w:rsidRPr="00B11D8D">
        <w:rPr>
          <w:rFonts w:cs="Times New Roman"/>
          <w:szCs w:val="24"/>
        </w:rPr>
        <w:t xml:space="preserve">Compared to other moments of </w:t>
      </w:r>
      <w:r w:rsidR="00954AB4">
        <w:rPr>
          <w:rFonts w:cs="Times New Roman"/>
          <w:szCs w:val="24"/>
        </w:rPr>
        <w:t>law-making</w:t>
      </w:r>
      <w:r w:rsidRPr="00B11D8D">
        <w:rPr>
          <w:rFonts w:cs="Times New Roman"/>
          <w:szCs w:val="24"/>
        </w:rPr>
        <w:t xml:space="preserve"> – the </w:t>
      </w:r>
      <w:r w:rsidR="007167B1" w:rsidRPr="00B11D8D">
        <w:rPr>
          <w:rFonts w:cs="Times New Roman"/>
          <w:szCs w:val="24"/>
        </w:rPr>
        <w:t>legislato</w:t>
      </w:r>
      <w:r w:rsidRPr="00B11D8D">
        <w:rPr>
          <w:rFonts w:cs="Times New Roman"/>
          <w:szCs w:val="24"/>
        </w:rPr>
        <w:t>r’s creation</w:t>
      </w:r>
      <w:r w:rsidR="008A4841">
        <w:rPr>
          <w:rFonts w:cs="Times New Roman"/>
          <w:szCs w:val="24"/>
        </w:rPr>
        <w:t xml:space="preserve"> and codification</w:t>
      </w:r>
      <w:r w:rsidRPr="00B11D8D">
        <w:rPr>
          <w:rFonts w:cs="Times New Roman"/>
          <w:szCs w:val="24"/>
        </w:rPr>
        <w:t xml:space="preserve">, the executive’s enforcement, or the judiciary’s interpretation </w:t>
      </w:r>
      <w:r w:rsidR="00795826">
        <w:rPr>
          <w:rFonts w:cs="Times New Roman"/>
          <w:szCs w:val="24"/>
        </w:rPr>
        <w:t>–</w:t>
      </w:r>
      <w:r w:rsidRPr="00B11D8D">
        <w:rPr>
          <w:rFonts w:cs="Times New Roman"/>
          <w:szCs w:val="24"/>
        </w:rPr>
        <w:t xml:space="preserve"> </w:t>
      </w:r>
      <w:r w:rsidR="00921CB9">
        <w:rPr>
          <w:rFonts w:cs="Times New Roman"/>
          <w:szCs w:val="24"/>
        </w:rPr>
        <w:t>n</w:t>
      </w:r>
      <w:r w:rsidR="00505F20">
        <w:rPr>
          <w:rFonts w:cs="Times New Roman"/>
          <w:szCs w:val="24"/>
        </w:rPr>
        <w:t>ullification</w:t>
      </w:r>
      <w:r w:rsidRPr="00B11D8D">
        <w:rPr>
          <w:rFonts w:cs="Times New Roman"/>
          <w:szCs w:val="24"/>
        </w:rPr>
        <w:t xml:space="preserve"> occupies a small space.  By itself it </w:t>
      </w:r>
      <w:r w:rsidR="005027FA">
        <w:rPr>
          <w:rFonts w:cs="Times New Roman"/>
          <w:szCs w:val="24"/>
        </w:rPr>
        <w:t>cann</w:t>
      </w:r>
      <w:r w:rsidRPr="00B11D8D">
        <w:rPr>
          <w:rFonts w:cs="Times New Roman"/>
          <w:szCs w:val="24"/>
        </w:rPr>
        <w:t xml:space="preserve">ot make law.  It does not press a new meaning across the legal universe.  It has no power to demand uniform </w:t>
      </w:r>
      <w:r w:rsidR="008A4841">
        <w:rPr>
          <w:rFonts w:cs="Times New Roman"/>
          <w:szCs w:val="24"/>
        </w:rPr>
        <w:t>deference</w:t>
      </w:r>
      <w:r w:rsidRPr="00B11D8D">
        <w:rPr>
          <w:rFonts w:cs="Times New Roman"/>
          <w:szCs w:val="24"/>
        </w:rPr>
        <w:t xml:space="preserve"> to its will. </w:t>
      </w:r>
      <w:r w:rsidR="00EB2CB7">
        <w:rPr>
          <w:rFonts w:cs="Times New Roman"/>
          <w:szCs w:val="24"/>
        </w:rPr>
        <w:t xml:space="preserve"> It creates no precedent.  </w:t>
      </w:r>
      <w:r w:rsidRPr="00B11D8D">
        <w:rPr>
          <w:rFonts w:cs="Times New Roman"/>
          <w:szCs w:val="24"/>
        </w:rPr>
        <w:t xml:space="preserve">In the larger world of the </w:t>
      </w:r>
      <w:r w:rsidRPr="00B11D8D">
        <w:rPr>
          <w:rFonts w:cs="Times New Roman"/>
          <w:i/>
          <w:szCs w:val="24"/>
        </w:rPr>
        <w:t>nomos</w:t>
      </w:r>
      <w:r w:rsidRPr="00B11D8D">
        <w:rPr>
          <w:rFonts w:cs="Times New Roman"/>
          <w:szCs w:val="24"/>
        </w:rPr>
        <w:t>, it is a near private moment that serves a unique function</w:t>
      </w:r>
      <w:r w:rsidR="005027FA">
        <w:rPr>
          <w:rFonts w:cs="Times New Roman"/>
          <w:szCs w:val="24"/>
        </w:rPr>
        <w:t xml:space="preserve"> to press the community’s shared values onto the face of the law</w:t>
      </w:r>
      <w:r w:rsidRPr="00B11D8D">
        <w:rPr>
          <w:rFonts w:cs="Times New Roman"/>
          <w:szCs w:val="24"/>
        </w:rPr>
        <w:t xml:space="preserve">.  </w:t>
      </w:r>
      <w:r w:rsidR="005027FA">
        <w:rPr>
          <w:rFonts w:cs="Times New Roman"/>
          <w:szCs w:val="24"/>
        </w:rPr>
        <w:t>Beyond this, nullification is a</w:t>
      </w:r>
      <w:r w:rsidRPr="00B11D8D">
        <w:rPr>
          <w:rFonts w:cs="Times New Roman"/>
          <w:szCs w:val="24"/>
        </w:rPr>
        <w:t xml:space="preserve"> warning that whatever the formal construct of the law</w:t>
      </w:r>
      <w:r w:rsidR="005C6D58">
        <w:rPr>
          <w:rFonts w:cs="Times New Roman"/>
          <w:szCs w:val="24"/>
        </w:rPr>
        <w:t xml:space="preserve"> and governance</w:t>
      </w:r>
      <w:r w:rsidRPr="00B11D8D">
        <w:rPr>
          <w:rFonts w:cs="Times New Roman"/>
          <w:szCs w:val="24"/>
        </w:rPr>
        <w:t xml:space="preserve">, it exists apart from the citizen’s own </w:t>
      </w:r>
      <w:r w:rsidR="005027FA">
        <w:rPr>
          <w:rFonts w:cs="Times New Roman"/>
          <w:szCs w:val="24"/>
        </w:rPr>
        <w:t>understanding</w:t>
      </w:r>
      <w:r w:rsidRPr="00B11D8D">
        <w:rPr>
          <w:rFonts w:cs="Times New Roman"/>
          <w:szCs w:val="24"/>
        </w:rPr>
        <w:t xml:space="preserve">.  </w:t>
      </w:r>
      <w:r w:rsidR="00B62258" w:rsidRPr="00B11D8D">
        <w:rPr>
          <w:rFonts w:cs="Times New Roman"/>
          <w:szCs w:val="24"/>
        </w:rPr>
        <w:t>It demand</w:t>
      </w:r>
      <w:r w:rsidR="005027FA">
        <w:rPr>
          <w:rFonts w:cs="Times New Roman"/>
          <w:szCs w:val="24"/>
        </w:rPr>
        <w:t>s</w:t>
      </w:r>
      <w:r w:rsidR="00B62258" w:rsidRPr="00B11D8D">
        <w:rPr>
          <w:rFonts w:cs="Times New Roman"/>
          <w:szCs w:val="24"/>
        </w:rPr>
        <w:t xml:space="preserve"> correction of constructs of the law</w:t>
      </w:r>
      <w:r w:rsidR="005027FA">
        <w:rPr>
          <w:rFonts w:cs="Times New Roman"/>
          <w:szCs w:val="24"/>
        </w:rPr>
        <w:t xml:space="preserve"> that do not account for the citizen’s lived experience and expectations of the law as a result of those experiences</w:t>
      </w:r>
      <w:r w:rsidR="00B62258" w:rsidRPr="00B11D8D">
        <w:rPr>
          <w:rFonts w:cs="Times New Roman"/>
          <w:szCs w:val="24"/>
        </w:rPr>
        <w:t xml:space="preserve">.  It is a call to interpretive commitment – a seizing of that active role </w:t>
      </w:r>
      <w:r w:rsidR="00EE52A7">
        <w:rPr>
          <w:rFonts w:cs="Times New Roman"/>
          <w:szCs w:val="24"/>
        </w:rPr>
        <w:t xml:space="preserve">of citizenship that </w:t>
      </w:r>
      <w:r w:rsidR="005C6D58">
        <w:rPr>
          <w:rFonts w:cs="Times New Roman"/>
          <w:szCs w:val="24"/>
        </w:rPr>
        <w:t xml:space="preserve">open governance imagines.  </w:t>
      </w:r>
      <w:r w:rsidR="00F52173">
        <w:rPr>
          <w:rFonts w:cs="Times New Roman"/>
          <w:szCs w:val="24"/>
        </w:rPr>
        <w:t>Viewed in this way, the jury’s ability to consider questions of law serves as a mechanism to lend predictability and knowability to the law and government when formal constructs have failed to align themselves with the citizen’s own expectations.</w:t>
      </w:r>
    </w:p>
    <w:p w14:paraId="4C58232E" w14:textId="5607D536" w:rsidR="00BD3FB2" w:rsidRDefault="00695D68" w:rsidP="008A4841">
      <w:pPr>
        <w:ind w:firstLine="720"/>
        <w:rPr>
          <w:rFonts w:cs="Times New Roman"/>
          <w:szCs w:val="24"/>
        </w:rPr>
      </w:pPr>
      <w:r>
        <w:rPr>
          <w:rFonts w:cs="Times New Roman"/>
          <w:szCs w:val="24"/>
        </w:rPr>
        <w:lastRenderedPageBreak/>
        <w:t>Juror n</w:t>
      </w:r>
      <w:r w:rsidR="008A4841">
        <w:rPr>
          <w:rFonts w:cs="Times New Roman"/>
          <w:szCs w:val="24"/>
        </w:rPr>
        <w:t>u</w:t>
      </w:r>
      <w:r w:rsidR="00796274">
        <w:rPr>
          <w:rFonts w:cs="Times New Roman"/>
          <w:szCs w:val="24"/>
        </w:rPr>
        <w:t>l</w:t>
      </w:r>
      <w:r w:rsidR="008A4841">
        <w:rPr>
          <w:rFonts w:cs="Times New Roman"/>
          <w:szCs w:val="24"/>
        </w:rPr>
        <w:t>lification is a challenge to the notion that law</w:t>
      </w:r>
      <w:r w:rsidR="00D06EC4">
        <w:rPr>
          <w:rFonts w:cs="Times New Roman"/>
          <w:szCs w:val="24"/>
        </w:rPr>
        <w:t xml:space="preserve"> – </w:t>
      </w:r>
      <w:r w:rsidR="008A4841">
        <w:rPr>
          <w:rFonts w:cs="Times New Roman"/>
          <w:szCs w:val="24"/>
        </w:rPr>
        <w:t>once constructed, enforced and interpreted by the formal bodies of government</w:t>
      </w:r>
      <w:r w:rsidR="00D06EC4">
        <w:rPr>
          <w:rFonts w:cs="Times New Roman"/>
          <w:szCs w:val="24"/>
        </w:rPr>
        <w:t xml:space="preserve"> –</w:t>
      </w:r>
      <w:r w:rsidR="008A4841">
        <w:rPr>
          <w:rFonts w:cs="Times New Roman"/>
          <w:szCs w:val="24"/>
        </w:rPr>
        <w:t xml:space="preserve"> requires </w:t>
      </w:r>
      <w:r w:rsidR="00796274">
        <w:rPr>
          <w:rFonts w:cs="Times New Roman"/>
          <w:szCs w:val="24"/>
        </w:rPr>
        <w:t xml:space="preserve">wholesale </w:t>
      </w:r>
      <w:r w:rsidR="008A4841">
        <w:rPr>
          <w:rFonts w:cs="Times New Roman"/>
          <w:szCs w:val="24"/>
        </w:rPr>
        <w:t xml:space="preserve">deference.  It is a rejection of the premise that the citizen owes a duty of </w:t>
      </w:r>
      <w:r w:rsidR="00796274">
        <w:rPr>
          <w:rFonts w:cs="Times New Roman"/>
          <w:szCs w:val="24"/>
        </w:rPr>
        <w:t>unquestioning obedience</w:t>
      </w:r>
      <w:r w:rsidR="008A4841">
        <w:rPr>
          <w:rFonts w:cs="Times New Roman"/>
          <w:szCs w:val="24"/>
        </w:rPr>
        <w:t xml:space="preserve"> to the State and its construction of law above other competing allegiances.</w:t>
      </w:r>
      <w:r w:rsidR="008A4841">
        <w:rPr>
          <w:rStyle w:val="Appelnotedebasdep"/>
          <w:rFonts w:cs="Times New Roman"/>
          <w:szCs w:val="24"/>
        </w:rPr>
        <w:footnoteReference w:id="21"/>
      </w:r>
      <w:r w:rsidR="008A4841">
        <w:rPr>
          <w:rFonts w:cs="Times New Roman"/>
          <w:szCs w:val="24"/>
        </w:rPr>
        <w:t xml:space="preserve">  It pushes against an external construct of the law</w:t>
      </w:r>
      <w:r w:rsidR="00796274">
        <w:rPr>
          <w:rFonts w:cs="Times New Roman"/>
          <w:szCs w:val="24"/>
        </w:rPr>
        <w:t>, in which the State defines the terms of the community it governs and then demands obedience to those terms as the cost of continued membership in the community</w:t>
      </w:r>
      <w:r w:rsidR="008A4841">
        <w:rPr>
          <w:rFonts w:cs="Times New Roman"/>
          <w:szCs w:val="24"/>
        </w:rPr>
        <w:t>.</w:t>
      </w:r>
      <w:r w:rsidR="008A4841">
        <w:rPr>
          <w:rStyle w:val="Appelnotedebasdep"/>
          <w:rFonts w:cs="Times New Roman"/>
          <w:szCs w:val="24"/>
        </w:rPr>
        <w:footnoteReference w:id="22"/>
      </w:r>
      <w:r w:rsidR="008A4841">
        <w:rPr>
          <w:rFonts w:cs="Times New Roman"/>
          <w:szCs w:val="24"/>
        </w:rPr>
        <w:t xml:space="preserve"> </w:t>
      </w:r>
      <w:r w:rsidR="00740969">
        <w:rPr>
          <w:rFonts w:cs="Times New Roman"/>
          <w:szCs w:val="24"/>
        </w:rPr>
        <w:t xml:space="preserve"> It recognizes instead that </w:t>
      </w:r>
      <w:r w:rsidR="008A4841">
        <w:rPr>
          <w:rFonts w:cs="Times New Roman"/>
          <w:szCs w:val="24"/>
        </w:rPr>
        <w:t>ther</w:t>
      </w:r>
      <w:r w:rsidR="00740969">
        <w:rPr>
          <w:rFonts w:cs="Times New Roman"/>
          <w:szCs w:val="24"/>
        </w:rPr>
        <w:t>e are times when rejection of</w:t>
      </w:r>
      <w:r w:rsidR="008A4841">
        <w:rPr>
          <w:rFonts w:cs="Times New Roman"/>
          <w:szCs w:val="24"/>
        </w:rPr>
        <w:t xml:space="preserve"> the law</w:t>
      </w:r>
      <w:r>
        <w:rPr>
          <w:rFonts w:cs="Times New Roman"/>
          <w:szCs w:val="24"/>
        </w:rPr>
        <w:t xml:space="preserve"> and government’s </w:t>
      </w:r>
      <w:r w:rsidR="00F52173">
        <w:rPr>
          <w:rFonts w:cs="Times New Roman"/>
          <w:szCs w:val="24"/>
        </w:rPr>
        <w:t>rigid</w:t>
      </w:r>
      <w:r>
        <w:rPr>
          <w:rFonts w:cs="Times New Roman"/>
          <w:szCs w:val="24"/>
        </w:rPr>
        <w:t xml:space="preserve"> perspective</w:t>
      </w:r>
      <w:r w:rsidR="008A4841">
        <w:rPr>
          <w:rFonts w:cs="Times New Roman"/>
          <w:szCs w:val="24"/>
        </w:rPr>
        <w:t xml:space="preserve"> is a good thing – when the lives of the citizens are diminished by wholesale deference and improved by disobedience.</w:t>
      </w:r>
      <w:r w:rsidR="008A4841">
        <w:rPr>
          <w:rStyle w:val="Appelnotedebasdep"/>
          <w:rFonts w:cs="Times New Roman"/>
          <w:szCs w:val="24"/>
        </w:rPr>
        <w:footnoteReference w:id="23"/>
      </w:r>
      <w:r w:rsidR="008A4841">
        <w:rPr>
          <w:rFonts w:cs="Times New Roman"/>
          <w:szCs w:val="24"/>
        </w:rPr>
        <w:t xml:space="preserve">  While obedience to the law may create stability within a community, such obedience can also produce harm.</w:t>
      </w:r>
      <w:r w:rsidR="008A4841">
        <w:rPr>
          <w:rStyle w:val="Appelnotedebasdep"/>
          <w:rFonts w:cs="Times New Roman"/>
          <w:szCs w:val="24"/>
        </w:rPr>
        <w:footnoteReference w:id="24"/>
      </w:r>
      <w:r w:rsidR="008A4841">
        <w:rPr>
          <w:rFonts w:cs="Times New Roman"/>
          <w:szCs w:val="24"/>
        </w:rPr>
        <w:t xml:space="preserve">  Laws</w:t>
      </w:r>
      <w:r w:rsidR="00796274">
        <w:rPr>
          <w:rFonts w:cs="Times New Roman"/>
          <w:szCs w:val="24"/>
        </w:rPr>
        <w:t>, left static,</w:t>
      </w:r>
      <w:r w:rsidR="008A4841">
        <w:rPr>
          <w:rFonts w:cs="Times New Roman"/>
          <w:szCs w:val="24"/>
        </w:rPr>
        <w:t xml:space="preserve"> may fail to acknowledge </w:t>
      </w:r>
      <w:r w:rsidR="00796274">
        <w:rPr>
          <w:rFonts w:cs="Times New Roman"/>
          <w:szCs w:val="24"/>
        </w:rPr>
        <w:t>the world as it actually exists</w:t>
      </w:r>
      <w:r w:rsidR="008A4841">
        <w:rPr>
          <w:rFonts w:cs="Times New Roman"/>
          <w:szCs w:val="24"/>
        </w:rPr>
        <w:t xml:space="preserve">, and may instead imagine </w:t>
      </w:r>
      <w:r w:rsidR="00796274">
        <w:rPr>
          <w:rFonts w:cs="Times New Roman"/>
          <w:szCs w:val="24"/>
        </w:rPr>
        <w:t>circumstances</w:t>
      </w:r>
      <w:r w:rsidR="008A4841">
        <w:rPr>
          <w:rFonts w:cs="Times New Roman"/>
          <w:szCs w:val="24"/>
        </w:rPr>
        <w:t xml:space="preserve"> as they may or could exist.</w:t>
      </w:r>
      <w:r w:rsidR="008A4841">
        <w:rPr>
          <w:rStyle w:val="Appelnotedebasdep"/>
          <w:rFonts w:cs="Times New Roman"/>
          <w:szCs w:val="24"/>
        </w:rPr>
        <w:footnoteReference w:id="25"/>
      </w:r>
      <w:r w:rsidR="008A4841">
        <w:rPr>
          <w:rFonts w:cs="Times New Roman"/>
          <w:szCs w:val="24"/>
        </w:rPr>
        <w:t xml:space="preserve"> </w:t>
      </w:r>
      <w:r w:rsidR="00490879">
        <w:rPr>
          <w:rFonts w:cs="Times New Roman"/>
          <w:szCs w:val="24"/>
        </w:rPr>
        <w:t xml:space="preserve"> </w:t>
      </w:r>
      <w:r w:rsidR="008A4841">
        <w:rPr>
          <w:rFonts w:cs="Times New Roman"/>
          <w:szCs w:val="24"/>
        </w:rPr>
        <w:t>Likewise, laws</w:t>
      </w:r>
      <w:r w:rsidR="00796274">
        <w:rPr>
          <w:rFonts w:cs="Times New Roman"/>
          <w:szCs w:val="24"/>
        </w:rPr>
        <w:t>, even from the moment of their creation,</w:t>
      </w:r>
      <w:r w:rsidR="008A4841">
        <w:rPr>
          <w:rFonts w:cs="Times New Roman"/>
          <w:szCs w:val="24"/>
        </w:rPr>
        <w:t xml:space="preserve"> may never have adequately accounted for or accommodated the lives of the citizens </w:t>
      </w:r>
      <w:r w:rsidR="00796274">
        <w:rPr>
          <w:rFonts w:cs="Times New Roman"/>
          <w:szCs w:val="24"/>
        </w:rPr>
        <w:t>they</w:t>
      </w:r>
      <w:r w:rsidR="008A4841">
        <w:rPr>
          <w:rFonts w:cs="Times New Roman"/>
          <w:szCs w:val="24"/>
        </w:rPr>
        <w:t xml:space="preserve"> govern.</w:t>
      </w:r>
      <w:r w:rsidR="008A4841">
        <w:rPr>
          <w:rStyle w:val="Appelnotedebasdep"/>
          <w:rFonts w:cs="Times New Roman"/>
          <w:szCs w:val="24"/>
        </w:rPr>
        <w:footnoteReference w:id="26"/>
      </w:r>
      <w:r w:rsidR="008A4841">
        <w:rPr>
          <w:rFonts w:cs="Times New Roman"/>
          <w:szCs w:val="24"/>
        </w:rPr>
        <w:t xml:space="preserve">  In these moments, it may be </w:t>
      </w:r>
      <w:r w:rsidR="00796274">
        <w:rPr>
          <w:rFonts w:cs="Times New Roman"/>
          <w:szCs w:val="24"/>
        </w:rPr>
        <w:t xml:space="preserve">that </w:t>
      </w:r>
      <w:r w:rsidR="008A4841">
        <w:rPr>
          <w:rFonts w:cs="Times New Roman"/>
          <w:szCs w:val="24"/>
        </w:rPr>
        <w:t xml:space="preserve">the citizen, and not the government, </w:t>
      </w:r>
      <w:r w:rsidR="00796274">
        <w:rPr>
          <w:rFonts w:cs="Times New Roman"/>
          <w:szCs w:val="24"/>
        </w:rPr>
        <w:t xml:space="preserve">is </w:t>
      </w:r>
      <w:r w:rsidR="008A4841">
        <w:rPr>
          <w:rFonts w:cs="Times New Roman"/>
          <w:szCs w:val="24"/>
        </w:rPr>
        <w:t>better able to access the value of the law and suggest counter meanings</w:t>
      </w:r>
      <w:r w:rsidR="00740969">
        <w:rPr>
          <w:rFonts w:cs="Times New Roman"/>
          <w:szCs w:val="24"/>
        </w:rPr>
        <w:t xml:space="preserve"> or interpretations</w:t>
      </w:r>
      <w:r w:rsidR="008A4841">
        <w:rPr>
          <w:rFonts w:cs="Times New Roman"/>
          <w:szCs w:val="24"/>
        </w:rPr>
        <w:t>.</w:t>
      </w:r>
      <w:r w:rsidR="000962E8">
        <w:rPr>
          <w:rStyle w:val="Appelnotedebasdep"/>
          <w:rFonts w:cs="Times New Roman"/>
          <w:szCs w:val="24"/>
        </w:rPr>
        <w:footnoteReference w:id="27"/>
      </w:r>
      <w:r w:rsidR="008A4841">
        <w:rPr>
          <w:rFonts w:cs="Times New Roman"/>
          <w:szCs w:val="24"/>
        </w:rPr>
        <w:t xml:space="preserve">  </w:t>
      </w:r>
      <w:r w:rsidR="00740969">
        <w:rPr>
          <w:rFonts w:cs="Times New Roman"/>
          <w:szCs w:val="24"/>
        </w:rPr>
        <w:t xml:space="preserve">Indeed, </w:t>
      </w:r>
      <w:r w:rsidR="000962E8">
        <w:rPr>
          <w:rFonts w:cs="Times New Roman"/>
          <w:szCs w:val="24"/>
        </w:rPr>
        <w:t xml:space="preserve">the </w:t>
      </w:r>
      <w:r w:rsidR="000962E8">
        <w:rPr>
          <w:rFonts w:cs="Times New Roman"/>
          <w:szCs w:val="24"/>
        </w:rPr>
        <w:lastRenderedPageBreak/>
        <w:t xml:space="preserve">citizen’s </w:t>
      </w:r>
      <w:r w:rsidR="00740969">
        <w:rPr>
          <w:rFonts w:cs="Times New Roman"/>
          <w:szCs w:val="24"/>
        </w:rPr>
        <w:t>c</w:t>
      </w:r>
      <w:r w:rsidR="008A4841">
        <w:rPr>
          <w:rFonts w:cs="Times New Roman"/>
          <w:szCs w:val="24"/>
        </w:rPr>
        <w:t xml:space="preserve">ontinued allegiance to the law as constructed by formal bodies may alienate the citizen from her </w:t>
      </w:r>
      <w:r w:rsidR="000962E8">
        <w:rPr>
          <w:rFonts w:cs="Times New Roman"/>
          <w:szCs w:val="24"/>
        </w:rPr>
        <w:t>own</w:t>
      </w:r>
      <w:r w:rsidR="008A4841">
        <w:rPr>
          <w:rFonts w:cs="Times New Roman"/>
          <w:szCs w:val="24"/>
        </w:rPr>
        <w:t xml:space="preserve"> values, her government, and her autonomy as a person.</w:t>
      </w:r>
      <w:r w:rsidR="0080638F">
        <w:rPr>
          <w:rStyle w:val="Appelnotedebasdep"/>
          <w:rFonts w:cs="Times New Roman"/>
          <w:szCs w:val="24"/>
        </w:rPr>
        <w:footnoteReference w:id="28"/>
      </w:r>
    </w:p>
    <w:p w14:paraId="6C4A88BB" w14:textId="77777777" w:rsidR="00016104" w:rsidRDefault="000962E8" w:rsidP="008A4841">
      <w:pPr>
        <w:ind w:firstLine="720"/>
        <w:rPr>
          <w:rFonts w:cs="Times New Roman"/>
          <w:szCs w:val="24"/>
        </w:rPr>
      </w:pPr>
      <w:r>
        <w:rPr>
          <w:rFonts w:cs="Times New Roman"/>
          <w:szCs w:val="24"/>
        </w:rPr>
        <w:t xml:space="preserve">In part, this is a recognition that in the process of </w:t>
      </w:r>
      <w:r w:rsidR="008421EC">
        <w:rPr>
          <w:rFonts w:cs="Times New Roman"/>
          <w:szCs w:val="24"/>
        </w:rPr>
        <w:t>compromise, settlement</w:t>
      </w:r>
      <w:r w:rsidR="0062121D">
        <w:rPr>
          <w:rFonts w:cs="Times New Roman"/>
          <w:szCs w:val="24"/>
        </w:rPr>
        <w:t>, and interpretation</w:t>
      </w:r>
      <w:r>
        <w:rPr>
          <w:rFonts w:cs="Times New Roman"/>
          <w:szCs w:val="24"/>
        </w:rPr>
        <w:t xml:space="preserve"> that informs the formal construction of the law, the citizen’s sovereignty may be lost. </w:t>
      </w:r>
      <w:r w:rsidR="00036F41">
        <w:rPr>
          <w:rFonts w:cs="Times New Roman"/>
          <w:szCs w:val="24"/>
        </w:rPr>
        <w:t xml:space="preserve"> </w:t>
      </w:r>
      <w:r>
        <w:rPr>
          <w:rFonts w:cs="Times New Roman"/>
          <w:szCs w:val="24"/>
        </w:rPr>
        <w:t xml:space="preserve">In these moments, whatever virtue is gained from this stable and unifying conception of law may simply come at too high a price for those left to live in the shadow of </w:t>
      </w:r>
      <w:r w:rsidR="00EE52A7">
        <w:rPr>
          <w:rFonts w:cs="Times New Roman"/>
          <w:szCs w:val="24"/>
        </w:rPr>
        <w:t>the</w:t>
      </w:r>
      <w:r w:rsidR="00BD3FB2">
        <w:rPr>
          <w:rFonts w:cs="Times New Roman"/>
          <w:szCs w:val="24"/>
        </w:rPr>
        <w:t xml:space="preserve"> </w:t>
      </w:r>
      <w:r>
        <w:rPr>
          <w:rFonts w:cs="Times New Roman"/>
          <w:szCs w:val="24"/>
        </w:rPr>
        <w:t xml:space="preserve">constructed law. </w:t>
      </w:r>
      <w:r w:rsidR="008A4841">
        <w:rPr>
          <w:rFonts w:cs="Times New Roman"/>
          <w:szCs w:val="24"/>
        </w:rPr>
        <w:t xml:space="preserve"> </w:t>
      </w:r>
      <w:r>
        <w:rPr>
          <w:rFonts w:cs="Times New Roman"/>
          <w:szCs w:val="24"/>
        </w:rPr>
        <w:t xml:space="preserve">But it is also a recognition that </w:t>
      </w:r>
      <w:r w:rsidR="00740969">
        <w:rPr>
          <w:rFonts w:cs="Times New Roman"/>
          <w:szCs w:val="24"/>
        </w:rPr>
        <w:t>i</w:t>
      </w:r>
      <w:r w:rsidR="008A4841">
        <w:rPr>
          <w:rFonts w:cs="Times New Roman"/>
          <w:szCs w:val="24"/>
        </w:rPr>
        <w:t>f the government seeks to force an unquestioning deference to the law based on its status</w:t>
      </w:r>
      <w:r>
        <w:rPr>
          <w:rFonts w:cs="Times New Roman"/>
          <w:szCs w:val="24"/>
        </w:rPr>
        <w:t xml:space="preserve"> as</w:t>
      </w:r>
      <w:r w:rsidR="008A4841">
        <w:rPr>
          <w:rFonts w:cs="Times New Roman"/>
          <w:szCs w:val="24"/>
        </w:rPr>
        <w:t xml:space="preserve"> “law” alone</w:t>
      </w:r>
      <w:r w:rsidR="00740969">
        <w:rPr>
          <w:rFonts w:cs="Times New Roman"/>
          <w:szCs w:val="24"/>
        </w:rPr>
        <w:t>,</w:t>
      </w:r>
      <w:r w:rsidR="008A4841">
        <w:rPr>
          <w:rFonts w:cs="Times New Roman"/>
          <w:szCs w:val="24"/>
        </w:rPr>
        <w:t xml:space="preserve"> without any effort to ground the legitimacy </w:t>
      </w:r>
      <w:r w:rsidR="00740969">
        <w:rPr>
          <w:rFonts w:cs="Times New Roman"/>
          <w:szCs w:val="24"/>
        </w:rPr>
        <w:t xml:space="preserve">or justification </w:t>
      </w:r>
      <w:r w:rsidR="008A4841">
        <w:rPr>
          <w:rFonts w:cs="Times New Roman"/>
          <w:szCs w:val="24"/>
        </w:rPr>
        <w:t>of the law in the citizen’s own value system, the relationship between the citizen and government shifts.  The government</w:t>
      </w:r>
      <w:r>
        <w:rPr>
          <w:rFonts w:cs="Times New Roman"/>
          <w:szCs w:val="24"/>
        </w:rPr>
        <w:t xml:space="preserve"> </w:t>
      </w:r>
      <w:r w:rsidR="00740969">
        <w:rPr>
          <w:rFonts w:cs="Times New Roman"/>
          <w:szCs w:val="24"/>
        </w:rPr>
        <w:t>claim</w:t>
      </w:r>
      <w:r>
        <w:rPr>
          <w:rFonts w:cs="Times New Roman"/>
          <w:szCs w:val="24"/>
        </w:rPr>
        <w:t>s</w:t>
      </w:r>
      <w:r w:rsidR="00740969">
        <w:rPr>
          <w:rFonts w:cs="Times New Roman"/>
          <w:szCs w:val="24"/>
        </w:rPr>
        <w:t xml:space="preserve"> </w:t>
      </w:r>
      <w:r w:rsidR="008A4841">
        <w:rPr>
          <w:rFonts w:cs="Times New Roman"/>
          <w:szCs w:val="24"/>
        </w:rPr>
        <w:t xml:space="preserve">power for itself as the source </w:t>
      </w:r>
      <w:r w:rsidR="000B0A4B">
        <w:rPr>
          <w:rFonts w:cs="Times New Roman"/>
          <w:szCs w:val="24"/>
        </w:rPr>
        <w:t>not only of the law but of the value system</w:t>
      </w:r>
      <w:r w:rsidR="008A4841">
        <w:rPr>
          <w:rFonts w:cs="Times New Roman"/>
          <w:szCs w:val="24"/>
        </w:rPr>
        <w:t xml:space="preserve"> </w:t>
      </w:r>
      <w:r w:rsidR="00293937">
        <w:rPr>
          <w:rFonts w:cs="Times New Roman"/>
          <w:szCs w:val="24"/>
        </w:rPr>
        <w:t xml:space="preserve">that </w:t>
      </w:r>
      <w:r w:rsidR="008A4841">
        <w:rPr>
          <w:rFonts w:cs="Times New Roman"/>
          <w:szCs w:val="24"/>
        </w:rPr>
        <w:t>i</w:t>
      </w:r>
      <w:r w:rsidR="000B0A4B">
        <w:rPr>
          <w:rFonts w:cs="Times New Roman"/>
          <w:szCs w:val="24"/>
        </w:rPr>
        <w:t>s bestowed on the citizenry through the creation</w:t>
      </w:r>
      <w:r w:rsidR="008A4841">
        <w:rPr>
          <w:rFonts w:cs="Times New Roman"/>
          <w:szCs w:val="24"/>
        </w:rPr>
        <w:t>, appli</w:t>
      </w:r>
      <w:r w:rsidR="000B0A4B">
        <w:rPr>
          <w:rFonts w:cs="Times New Roman"/>
          <w:szCs w:val="24"/>
        </w:rPr>
        <w:t>cation</w:t>
      </w:r>
      <w:r w:rsidR="00993C50">
        <w:rPr>
          <w:rFonts w:cs="Times New Roman"/>
          <w:szCs w:val="24"/>
        </w:rPr>
        <w:t>,</w:t>
      </w:r>
      <w:r w:rsidR="000B0A4B">
        <w:rPr>
          <w:rFonts w:cs="Times New Roman"/>
          <w:szCs w:val="24"/>
        </w:rPr>
        <w:t xml:space="preserve"> </w:t>
      </w:r>
      <w:r w:rsidR="008A4841">
        <w:rPr>
          <w:rFonts w:cs="Times New Roman"/>
          <w:szCs w:val="24"/>
        </w:rPr>
        <w:t>and interpret</w:t>
      </w:r>
      <w:r w:rsidR="000B0A4B">
        <w:rPr>
          <w:rFonts w:cs="Times New Roman"/>
          <w:szCs w:val="24"/>
        </w:rPr>
        <w:t xml:space="preserve">ation of the </w:t>
      </w:r>
      <w:r w:rsidR="008A4841">
        <w:rPr>
          <w:rFonts w:cs="Times New Roman"/>
          <w:szCs w:val="24"/>
        </w:rPr>
        <w:t xml:space="preserve">law.  </w:t>
      </w:r>
    </w:p>
    <w:p w14:paraId="026C52CB" w14:textId="6807C6CA" w:rsidR="008A4841" w:rsidRDefault="000B0A4B" w:rsidP="008A4841">
      <w:pPr>
        <w:ind w:firstLine="720"/>
        <w:rPr>
          <w:rFonts w:cs="Times New Roman"/>
          <w:szCs w:val="24"/>
        </w:rPr>
      </w:pPr>
      <w:r>
        <w:rPr>
          <w:rFonts w:cs="Times New Roman"/>
          <w:szCs w:val="24"/>
        </w:rPr>
        <w:t>Nullification pushes the opposite reality:  that the power of governance, and so law creation, application</w:t>
      </w:r>
      <w:r w:rsidR="00993C50">
        <w:rPr>
          <w:rFonts w:cs="Times New Roman"/>
          <w:szCs w:val="24"/>
        </w:rPr>
        <w:t>,</w:t>
      </w:r>
      <w:r>
        <w:rPr>
          <w:rFonts w:cs="Times New Roman"/>
          <w:szCs w:val="24"/>
        </w:rPr>
        <w:t xml:space="preserve"> and interpretation,</w:t>
      </w:r>
      <w:r w:rsidR="008A4841">
        <w:rPr>
          <w:rFonts w:cs="Times New Roman"/>
          <w:szCs w:val="24"/>
        </w:rPr>
        <w:t xml:space="preserve"> </w:t>
      </w:r>
      <w:r w:rsidR="00740969">
        <w:rPr>
          <w:rFonts w:cs="Times New Roman"/>
          <w:szCs w:val="24"/>
        </w:rPr>
        <w:t xml:space="preserve">must </w:t>
      </w:r>
      <w:r w:rsidR="008A4841">
        <w:rPr>
          <w:rFonts w:cs="Times New Roman"/>
          <w:szCs w:val="24"/>
        </w:rPr>
        <w:t>flow from the citizen to the government.  Members of the formal bodies that have created, codified, enforced and interpreted the law have done so as an act of delegation – by virtue of the citizen’s willingness to cede the power of governance to representatives.  The fact of this delegation alone cannot displace the power of the citizen’s own normative judgments about the value of the law</w:t>
      </w:r>
      <w:r w:rsidR="00BD3FB2">
        <w:rPr>
          <w:rFonts w:cs="Times New Roman"/>
          <w:szCs w:val="24"/>
        </w:rPr>
        <w:t>,</w:t>
      </w:r>
      <w:r w:rsidR="008A4841">
        <w:rPr>
          <w:rFonts w:cs="Times New Roman"/>
          <w:szCs w:val="24"/>
        </w:rPr>
        <w:t xml:space="preserve"> measured </w:t>
      </w:r>
      <w:r w:rsidR="00BD3FB2">
        <w:rPr>
          <w:rFonts w:cs="Times New Roman"/>
          <w:szCs w:val="24"/>
        </w:rPr>
        <w:t xml:space="preserve">by </w:t>
      </w:r>
      <w:r w:rsidR="008A4841">
        <w:rPr>
          <w:rFonts w:cs="Times New Roman"/>
          <w:szCs w:val="24"/>
        </w:rPr>
        <w:t>its abil</w:t>
      </w:r>
      <w:r>
        <w:rPr>
          <w:rFonts w:cs="Times New Roman"/>
          <w:szCs w:val="24"/>
        </w:rPr>
        <w:t>ity to account for h</w:t>
      </w:r>
      <w:r w:rsidR="00EE52A7">
        <w:rPr>
          <w:rFonts w:cs="Times New Roman"/>
          <w:szCs w:val="24"/>
        </w:rPr>
        <w:t>is own life and his</w:t>
      </w:r>
      <w:r>
        <w:rPr>
          <w:rFonts w:cs="Times New Roman"/>
          <w:szCs w:val="24"/>
        </w:rPr>
        <w:t xml:space="preserve"> own values.</w:t>
      </w:r>
      <w:r w:rsidR="007A156B">
        <w:rPr>
          <w:rFonts w:cs="Times New Roman"/>
          <w:szCs w:val="24"/>
        </w:rPr>
        <w:t xml:space="preserve"> </w:t>
      </w:r>
    </w:p>
    <w:p w14:paraId="10B0D5BE" w14:textId="1AF9C673" w:rsidR="008A4841" w:rsidRDefault="00293937" w:rsidP="008A4841">
      <w:pPr>
        <w:ind w:firstLine="720"/>
        <w:rPr>
          <w:rFonts w:cs="Times New Roman"/>
          <w:szCs w:val="24"/>
        </w:rPr>
      </w:pPr>
      <w:r>
        <w:rPr>
          <w:rFonts w:cs="Times New Roman"/>
          <w:szCs w:val="24"/>
        </w:rPr>
        <w:t>N</w:t>
      </w:r>
      <w:r w:rsidR="008A4841">
        <w:rPr>
          <w:rFonts w:cs="Times New Roman"/>
          <w:szCs w:val="24"/>
        </w:rPr>
        <w:t>ullification</w:t>
      </w:r>
      <w:r w:rsidR="00740969">
        <w:rPr>
          <w:rFonts w:cs="Times New Roman"/>
          <w:szCs w:val="24"/>
        </w:rPr>
        <w:t>, even in the small space it occupies,</w:t>
      </w:r>
      <w:r w:rsidR="008A4841">
        <w:rPr>
          <w:rFonts w:cs="Times New Roman"/>
          <w:szCs w:val="24"/>
        </w:rPr>
        <w:t xml:space="preserve"> is a safety valve in a world that might otherwise reduce self governance to a series of defer</w:t>
      </w:r>
      <w:r w:rsidR="00993C50">
        <w:rPr>
          <w:rFonts w:cs="Times New Roman"/>
          <w:szCs w:val="24"/>
        </w:rPr>
        <w:t>red loyalties</w:t>
      </w:r>
      <w:r w:rsidR="00740969">
        <w:rPr>
          <w:rFonts w:cs="Times New Roman"/>
          <w:szCs w:val="24"/>
        </w:rPr>
        <w:t xml:space="preserve"> and </w:t>
      </w:r>
      <w:r w:rsidR="000B0A4B">
        <w:rPr>
          <w:rFonts w:cs="Times New Roman"/>
          <w:szCs w:val="24"/>
        </w:rPr>
        <w:t>wholesale</w:t>
      </w:r>
      <w:r w:rsidR="00740969">
        <w:rPr>
          <w:rFonts w:cs="Times New Roman"/>
          <w:szCs w:val="24"/>
        </w:rPr>
        <w:t xml:space="preserve"> obedi</w:t>
      </w:r>
      <w:r w:rsidR="000B0A4B">
        <w:rPr>
          <w:rFonts w:cs="Times New Roman"/>
          <w:szCs w:val="24"/>
        </w:rPr>
        <w:t>e</w:t>
      </w:r>
      <w:r w:rsidR="00740969">
        <w:rPr>
          <w:rFonts w:cs="Times New Roman"/>
          <w:szCs w:val="24"/>
        </w:rPr>
        <w:t>nce</w:t>
      </w:r>
      <w:r w:rsidR="008A4841">
        <w:rPr>
          <w:rFonts w:cs="Times New Roman"/>
          <w:szCs w:val="24"/>
        </w:rPr>
        <w:t xml:space="preserve">.  It is a </w:t>
      </w:r>
      <w:r w:rsidR="00740969">
        <w:rPr>
          <w:rFonts w:cs="Times New Roman"/>
          <w:szCs w:val="24"/>
        </w:rPr>
        <w:t xml:space="preserve">constant </w:t>
      </w:r>
      <w:r w:rsidR="008A4841">
        <w:rPr>
          <w:rFonts w:cs="Times New Roman"/>
          <w:szCs w:val="24"/>
        </w:rPr>
        <w:t>reminder that the value of the law flows from the people</w:t>
      </w:r>
      <w:r w:rsidR="005F5090">
        <w:rPr>
          <w:rFonts w:cs="Times New Roman"/>
          <w:szCs w:val="24"/>
        </w:rPr>
        <w:t>,</w:t>
      </w:r>
      <w:r w:rsidR="00740969">
        <w:rPr>
          <w:rFonts w:cs="Times New Roman"/>
          <w:szCs w:val="24"/>
        </w:rPr>
        <w:t xml:space="preserve"> and t</w:t>
      </w:r>
      <w:r w:rsidR="008A4841">
        <w:rPr>
          <w:rFonts w:cs="Times New Roman"/>
          <w:szCs w:val="24"/>
        </w:rPr>
        <w:t>hat the formal decision</w:t>
      </w:r>
      <w:r>
        <w:rPr>
          <w:rFonts w:cs="Times New Roman"/>
          <w:szCs w:val="24"/>
        </w:rPr>
        <w:t>-</w:t>
      </w:r>
      <w:r w:rsidR="008A4841">
        <w:rPr>
          <w:rFonts w:cs="Times New Roman"/>
          <w:szCs w:val="24"/>
        </w:rPr>
        <w:t>makers are agents</w:t>
      </w:r>
      <w:r w:rsidR="005F5090">
        <w:rPr>
          <w:rFonts w:cs="Times New Roman"/>
          <w:szCs w:val="24"/>
        </w:rPr>
        <w:t xml:space="preserve"> – </w:t>
      </w:r>
      <w:r w:rsidR="008A4841">
        <w:rPr>
          <w:rFonts w:cs="Times New Roman"/>
          <w:szCs w:val="24"/>
        </w:rPr>
        <w:t>repositories of our delegated power</w:t>
      </w:r>
      <w:r w:rsidR="005F5090">
        <w:rPr>
          <w:rFonts w:cs="Times New Roman"/>
          <w:szCs w:val="24"/>
        </w:rPr>
        <w:t xml:space="preserve"> –</w:t>
      </w:r>
      <w:r w:rsidR="008A4841">
        <w:rPr>
          <w:rFonts w:cs="Times New Roman"/>
          <w:szCs w:val="24"/>
        </w:rPr>
        <w:t xml:space="preserve"> not the source of power itself.</w:t>
      </w:r>
      <w:r w:rsidR="00991767">
        <w:rPr>
          <w:rStyle w:val="Appelnotedebasdep"/>
          <w:rFonts w:cs="Times New Roman"/>
          <w:szCs w:val="24"/>
        </w:rPr>
        <w:footnoteReference w:id="29"/>
      </w:r>
      <w:r w:rsidR="008A4841">
        <w:rPr>
          <w:rFonts w:cs="Times New Roman"/>
          <w:szCs w:val="24"/>
        </w:rPr>
        <w:t xml:space="preserve">  </w:t>
      </w:r>
      <w:r w:rsidR="00740969">
        <w:rPr>
          <w:rFonts w:cs="Times New Roman"/>
          <w:szCs w:val="24"/>
        </w:rPr>
        <w:t>T</w:t>
      </w:r>
      <w:r w:rsidR="008A4841">
        <w:rPr>
          <w:rFonts w:cs="Times New Roman"/>
          <w:szCs w:val="24"/>
        </w:rPr>
        <w:t xml:space="preserve">he </w:t>
      </w:r>
      <w:r w:rsidR="00F52173">
        <w:rPr>
          <w:rFonts w:cs="Times New Roman"/>
          <w:szCs w:val="24"/>
        </w:rPr>
        <w:t>law and</w:t>
      </w:r>
      <w:r w:rsidR="00695D68">
        <w:rPr>
          <w:rFonts w:cs="Times New Roman"/>
          <w:szCs w:val="24"/>
        </w:rPr>
        <w:t xml:space="preserve"> government are </w:t>
      </w:r>
      <w:r w:rsidR="008A4841">
        <w:rPr>
          <w:rFonts w:cs="Times New Roman"/>
          <w:szCs w:val="24"/>
        </w:rPr>
        <w:t>not an external</w:t>
      </w:r>
      <w:r w:rsidR="00740969">
        <w:rPr>
          <w:rFonts w:cs="Times New Roman"/>
          <w:szCs w:val="24"/>
        </w:rPr>
        <w:t xml:space="preserve"> and foreign bod</w:t>
      </w:r>
      <w:r w:rsidR="00695D68">
        <w:rPr>
          <w:rFonts w:cs="Times New Roman"/>
          <w:szCs w:val="24"/>
        </w:rPr>
        <w:t>ies</w:t>
      </w:r>
      <w:r w:rsidR="008A4841">
        <w:rPr>
          <w:rFonts w:cs="Times New Roman"/>
          <w:szCs w:val="24"/>
        </w:rPr>
        <w:t xml:space="preserve">, but a internal </w:t>
      </w:r>
      <w:r w:rsidR="00740969">
        <w:rPr>
          <w:rFonts w:cs="Times New Roman"/>
          <w:szCs w:val="24"/>
        </w:rPr>
        <w:t>one</w:t>
      </w:r>
      <w:r w:rsidR="00695D68">
        <w:rPr>
          <w:rFonts w:cs="Times New Roman"/>
          <w:szCs w:val="24"/>
        </w:rPr>
        <w:t>s</w:t>
      </w:r>
      <w:r w:rsidR="008A4841">
        <w:rPr>
          <w:rFonts w:cs="Times New Roman"/>
          <w:szCs w:val="24"/>
        </w:rPr>
        <w:t xml:space="preserve"> </w:t>
      </w:r>
      <w:r>
        <w:rPr>
          <w:rFonts w:cs="Times New Roman"/>
          <w:szCs w:val="24"/>
        </w:rPr>
        <w:t xml:space="preserve">that </w:t>
      </w:r>
      <w:r w:rsidR="00695D68">
        <w:rPr>
          <w:rFonts w:cs="Times New Roman"/>
          <w:szCs w:val="24"/>
        </w:rPr>
        <w:t>are</w:t>
      </w:r>
      <w:r w:rsidR="008A4841">
        <w:rPr>
          <w:rFonts w:cs="Times New Roman"/>
          <w:szCs w:val="24"/>
        </w:rPr>
        <w:t xml:space="preserve"> as fluid as our own shift</w:t>
      </w:r>
      <w:r w:rsidR="00740969">
        <w:rPr>
          <w:rFonts w:cs="Times New Roman"/>
          <w:szCs w:val="24"/>
        </w:rPr>
        <w:t>ing</w:t>
      </w:r>
      <w:r w:rsidR="008A4841">
        <w:rPr>
          <w:rFonts w:cs="Times New Roman"/>
          <w:szCs w:val="24"/>
        </w:rPr>
        <w:t xml:space="preserve"> values</w:t>
      </w:r>
      <w:r w:rsidR="00740969">
        <w:rPr>
          <w:rFonts w:cs="Times New Roman"/>
          <w:szCs w:val="24"/>
        </w:rPr>
        <w:t>, norms and expectations</w:t>
      </w:r>
      <w:r w:rsidR="008A4841">
        <w:rPr>
          <w:rFonts w:cs="Times New Roman"/>
          <w:szCs w:val="24"/>
        </w:rPr>
        <w:t>.</w:t>
      </w:r>
      <w:r w:rsidR="008A4841">
        <w:rPr>
          <w:rStyle w:val="Appelnotedebasdep"/>
          <w:rFonts w:cs="Times New Roman"/>
          <w:szCs w:val="24"/>
        </w:rPr>
        <w:footnoteReference w:id="30"/>
      </w:r>
    </w:p>
    <w:p w14:paraId="6B04A301" w14:textId="3DB6AB74" w:rsidR="00E476F7" w:rsidRDefault="00293937" w:rsidP="007B0E28">
      <w:pPr>
        <w:ind w:firstLine="720"/>
        <w:rPr>
          <w:rFonts w:cs="Times New Roman"/>
          <w:szCs w:val="24"/>
        </w:rPr>
      </w:pPr>
      <w:r>
        <w:rPr>
          <w:rFonts w:cs="Times New Roman"/>
          <w:szCs w:val="24"/>
        </w:rPr>
        <w:t>In this, i</w:t>
      </w:r>
      <w:r w:rsidR="00740969">
        <w:rPr>
          <w:rFonts w:cs="Times New Roman"/>
          <w:szCs w:val="24"/>
        </w:rPr>
        <w:t xml:space="preserve">t may seem that </w:t>
      </w:r>
      <w:r w:rsidR="007E499B" w:rsidRPr="00B11D8D">
        <w:rPr>
          <w:rFonts w:cs="Times New Roman"/>
          <w:szCs w:val="24"/>
        </w:rPr>
        <w:t>nullification</w:t>
      </w:r>
      <w:r w:rsidR="007167B1" w:rsidRPr="00B11D8D">
        <w:rPr>
          <w:rFonts w:cs="Times New Roman"/>
          <w:szCs w:val="24"/>
        </w:rPr>
        <w:t xml:space="preserve"> renders the law </w:t>
      </w:r>
      <w:r w:rsidR="00695D68">
        <w:rPr>
          <w:rFonts w:cs="Times New Roman"/>
          <w:szCs w:val="24"/>
        </w:rPr>
        <w:t xml:space="preserve">and the government that produces it </w:t>
      </w:r>
      <w:r w:rsidR="00A30D2B" w:rsidRPr="00B11D8D">
        <w:rPr>
          <w:rFonts w:cs="Times New Roman"/>
          <w:szCs w:val="24"/>
        </w:rPr>
        <w:t>less knowable</w:t>
      </w:r>
      <w:r w:rsidR="007167B1" w:rsidRPr="00B11D8D">
        <w:rPr>
          <w:rFonts w:cs="Times New Roman"/>
          <w:szCs w:val="24"/>
        </w:rPr>
        <w:t>, less constant</w:t>
      </w:r>
      <w:r w:rsidR="00EE52A7">
        <w:rPr>
          <w:rFonts w:cs="Times New Roman"/>
          <w:szCs w:val="24"/>
        </w:rPr>
        <w:t xml:space="preserve">, </w:t>
      </w:r>
      <w:r w:rsidR="00016104">
        <w:rPr>
          <w:rFonts w:cs="Times New Roman"/>
          <w:szCs w:val="24"/>
        </w:rPr>
        <w:t xml:space="preserve">and </w:t>
      </w:r>
      <w:r w:rsidR="00EE52A7">
        <w:rPr>
          <w:rFonts w:cs="Times New Roman"/>
          <w:szCs w:val="24"/>
        </w:rPr>
        <w:t>ad hoc</w:t>
      </w:r>
      <w:r w:rsidR="007167B1" w:rsidRPr="00B11D8D">
        <w:rPr>
          <w:rFonts w:cs="Times New Roman"/>
          <w:szCs w:val="24"/>
        </w:rPr>
        <w:t xml:space="preserve">.  </w:t>
      </w:r>
      <w:r w:rsidR="00EE52A7">
        <w:rPr>
          <w:rFonts w:cs="Times New Roman"/>
          <w:szCs w:val="24"/>
        </w:rPr>
        <w:t>T</w:t>
      </w:r>
      <w:r w:rsidR="007167B1" w:rsidRPr="00B11D8D">
        <w:rPr>
          <w:rFonts w:cs="Times New Roman"/>
          <w:szCs w:val="24"/>
        </w:rPr>
        <w:t xml:space="preserve">he fear of inconsistent verdicts </w:t>
      </w:r>
      <w:r w:rsidR="007167B1" w:rsidRPr="00B11D8D">
        <w:rPr>
          <w:rFonts w:cs="Times New Roman"/>
          <w:szCs w:val="24"/>
        </w:rPr>
        <w:lastRenderedPageBreak/>
        <w:t xml:space="preserve">and </w:t>
      </w:r>
      <w:r>
        <w:rPr>
          <w:rFonts w:cs="Times New Roman"/>
          <w:szCs w:val="24"/>
        </w:rPr>
        <w:t xml:space="preserve">their </w:t>
      </w:r>
      <w:r w:rsidR="007167B1" w:rsidRPr="00B11D8D">
        <w:rPr>
          <w:rFonts w:cs="Times New Roman"/>
          <w:szCs w:val="24"/>
        </w:rPr>
        <w:t xml:space="preserve">effect </w:t>
      </w:r>
      <w:r w:rsidR="00EE52A7">
        <w:rPr>
          <w:rFonts w:cs="Times New Roman"/>
          <w:szCs w:val="24"/>
        </w:rPr>
        <w:t>is powerful</w:t>
      </w:r>
      <w:r w:rsidR="007167B1" w:rsidRPr="00B11D8D">
        <w:rPr>
          <w:rFonts w:cs="Times New Roman"/>
          <w:szCs w:val="24"/>
        </w:rPr>
        <w:t>.  The horrific history of nullif</w:t>
      </w:r>
      <w:r>
        <w:rPr>
          <w:rFonts w:cs="Times New Roman"/>
          <w:szCs w:val="24"/>
        </w:rPr>
        <w:t>ying</w:t>
      </w:r>
      <w:r w:rsidR="007167B1" w:rsidRPr="00B11D8D">
        <w:rPr>
          <w:rFonts w:cs="Times New Roman"/>
          <w:szCs w:val="24"/>
        </w:rPr>
        <w:t xml:space="preserve"> verdicts </w:t>
      </w:r>
      <w:r w:rsidR="00695D68">
        <w:rPr>
          <w:rFonts w:cs="Times New Roman"/>
          <w:szCs w:val="24"/>
        </w:rPr>
        <w:t xml:space="preserve">in the United States </w:t>
      </w:r>
      <w:r w:rsidR="007167B1" w:rsidRPr="00B11D8D">
        <w:rPr>
          <w:rFonts w:cs="Times New Roman"/>
          <w:szCs w:val="24"/>
        </w:rPr>
        <w:t>serves as a reminder of the power of this near private moment when compounded across a community.</w:t>
      </w:r>
      <w:r w:rsidR="007E499B" w:rsidRPr="00B11D8D">
        <w:rPr>
          <w:rStyle w:val="Appelnotedebasdep"/>
          <w:rFonts w:cs="Times New Roman"/>
          <w:szCs w:val="24"/>
        </w:rPr>
        <w:footnoteReference w:id="31"/>
      </w:r>
      <w:r w:rsidR="007167B1" w:rsidRPr="00B11D8D">
        <w:rPr>
          <w:rFonts w:cs="Times New Roman"/>
          <w:szCs w:val="24"/>
        </w:rPr>
        <w:t xml:space="preserve"> </w:t>
      </w:r>
      <w:r w:rsidR="007E499B" w:rsidRPr="00B11D8D">
        <w:rPr>
          <w:rFonts w:cs="Times New Roman"/>
          <w:szCs w:val="24"/>
        </w:rPr>
        <w:t xml:space="preserve"> But this first impression ignores equally valid realities.  </w:t>
      </w:r>
      <w:r w:rsidR="00740969">
        <w:rPr>
          <w:rFonts w:cs="Times New Roman"/>
          <w:szCs w:val="24"/>
        </w:rPr>
        <w:t>N</w:t>
      </w:r>
      <w:r w:rsidR="007E499B" w:rsidRPr="00B11D8D">
        <w:rPr>
          <w:rFonts w:cs="Times New Roman"/>
          <w:szCs w:val="24"/>
        </w:rPr>
        <w:t>ullification is an act of integration – it seeks to m</w:t>
      </w:r>
      <w:r w:rsidR="00584A5F" w:rsidRPr="00B11D8D">
        <w:rPr>
          <w:rFonts w:cs="Times New Roman"/>
          <w:szCs w:val="24"/>
        </w:rPr>
        <w:t xml:space="preserve">ap </w:t>
      </w:r>
      <w:r w:rsidR="007E499B" w:rsidRPr="00B11D8D">
        <w:rPr>
          <w:rFonts w:cs="Times New Roman"/>
          <w:szCs w:val="24"/>
        </w:rPr>
        <w:t xml:space="preserve">the formally constructed law </w:t>
      </w:r>
      <w:r w:rsidR="00584A5F" w:rsidRPr="00B11D8D">
        <w:rPr>
          <w:rFonts w:cs="Times New Roman"/>
          <w:szCs w:val="24"/>
        </w:rPr>
        <w:t>onto</w:t>
      </w:r>
      <w:r w:rsidR="007E499B" w:rsidRPr="00B11D8D">
        <w:rPr>
          <w:rFonts w:cs="Times New Roman"/>
          <w:szCs w:val="24"/>
        </w:rPr>
        <w:t xml:space="preserve"> the lives of the governed and</w:t>
      </w:r>
      <w:r>
        <w:rPr>
          <w:rFonts w:cs="Times New Roman"/>
          <w:szCs w:val="24"/>
        </w:rPr>
        <w:t>,</w:t>
      </w:r>
      <w:r w:rsidR="007E499B" w:rsidRPr="00B11D8D">
        <w:rPr>
          <w:rFonts w:cs="Times New Roman"/>
          <w:szCs w:val="24"/>
        </w:rPr>
        <w:t xml:space="preserve"> in the process</w:t>
      </w:r>
      <w:r>
        <w:rPr>
          <w:rFonts w:cs="Times New Roman"/>
          <w:szCs w:val="24"/>
        </w:rPr>
        <w:t>,</w:t>
      </w:r>
      <w:r w:rsidR="007E499B" w:rsidRPr="00B11D8D">
        <w:rPr>
          <w:rFonts w:cs="Times New Roman"/>
          <w:szCs w:val="24"/>
        </w:rPr>
        <w:t xml:space="preserve"> preserve the underlying value of law itself.  It is a moment of direct citizen interpretation </w:t>
      </w:r>
      <w:r w:rsidR="00ED3BAE" w:rsidRPr="00B11D8D">
        <w:rPr>
          <w:rFonts w:cs="Times New Roman"/>
          <w:szCs w:val="24"/>
        </w:rPr>
        <w:t xml:space="preserve">that </w:t>
      </w:r>
      <w:r w:rsidR="007E499B" w:rsidRPr="00B11D8D">
        <w:rPr>
          <w:rFonts w:cs="Times New Roman"/>
          <w:szCs w:val="24"/>
        </w:rPr>
        <w:t xml:space="preserve">pushes the law to account for a previously excluded perspective.  </w:t>
      </w:r>
      <w:r w:rsidR="002409B8">
        <w:rPr>
          <w:rFonts w:cs="Times New Roman"/>
          <w:szCs w:val="24"/>
        </w:rPr>
        <w:t xml:space="preserve">It renders the law a body in motion from its static origins.  </w:t>
      </w:r>
      <w:r w:rsidR="00740969">
        <w:rPr>
          <w:rFonts w:cs="Times New Roman"/>
          <w:szCs w:val="24"/>
        </w:rPr>
        <w:t>It is a moment of voice and exit – expressi</w:t>
      </w:r>
      <w:r>
        <w:rPr>
          <w:rFonts w:cs="Times New Roman"/>
          <w:szCs w:val="24"/>
        </w:rPr>
        <w:t>ng</w:t>
      </w:r>
      <w:r w:rsidR="00740969">
        <w:rPr>
          <w:rFonts w:cs="Times New Roman"/>
          <w:szCs w:val="24"/>
        </w:rPr>
        <w:t xml:space="preserve"> dissatisfaction within the confines of the walls of the system </w:t>
      </w:r>
      <w:r>
        <w:rPr>
          <w:rFonts w:cs="Times New Roman"/>
          <w:szCs w:val="24"/>
        </w:rPr>
        <w:t xml:space="preserve">and </w:t>
      </w:r>
      <w:r w:rsidR="00740969">
        <w:rPr>
          <w:rFonts w:cs="Times New Roman"/>
          <w:szCs w:val="24"/>
        </w:rPr>
        <w:t xml:space="preserve">rejecting law that would exclude the citizen’s own experience.  Within </w:t>
      </w:r>
      <w:r w:rsidR="00695D68">
        <w:rPr>
          <w:rFonts w:cs="Times New Roman"/>
          <w:szCs w:val="24"/>
        </w:rPr>
        <w:t>the open government movement</w:t>
      </w:r>
      <w:r w:rsidR="007B0E28" w:rsidRPr="00B11D8D">
        <w:rPr>
          <w:rFonts w:cs="Times New Roman"/>
          <w:szCs w:val="24"/>
        </w:rPr>
        <w:t xml:space="preserve">, </w:t>
      </w:r>
      <w:r w:rsidR="00505F20">
        <w:rPr>
          <w:rFonts w:cs="Times New Roman"/>
          <w:szCs w:val="24"/>
        </w:rPr>
        <w:t xml:space="preserve">this is consistent with an expanded vision of the law, </w:t>
      </w:r>
      <w:r>
        <w:rPr>
          <w:rFonts w:cs="Times New Roman"/>
          <w:szCs w:val="24"/>
        </w:rPr>
        <w:t xml:space="preserve">and </w:t>
      </w:r>
      <w:r w:rsidR="007B0E28" w:rsidRPr="00B11D8D">
        <w:rPr>
          <w:rFonts w:cs="Times New Roman"/>
          <w:szCs w:val="24"/>
        </w:rPr>
        <w:t xml:space="preserve">there is inherent value to </w:t>
      </w:r>
      <w:r w:rsidR="00505F20">
        <w:rPr>
          <w:rFonts w:cs="Times New Roman"/>
          <w:szCs w:val="24"/>
        </w:rPr>
        <w:t>it</w:t>
      </w:r>
      <w:r w:rsidR="007B0E28" w:rsidRPr="00B11D8D">
        <w:rPr>
          <w:rFonts w:cs="Times New Roman"/>
          <w:szCs w:val="24"/>
        </w:rPr>
        <w:t>.</w:t>
      </w:r>
      <w:r w:rsidR="00EE52A7">
        <w:rPr>
          <w:rFonts w:cs="Times New Roman"/>
          <w:szCs w:val="24"/>
        </w:rPr>
        <w:t xml:space="preserve"> Nullification shelter</w:t>
      </w:r>
      <w:r w:rsidR="007B0E28" w:rsidRPr="00B11D8D">
        <w:rPr>
          <w:rFonts w:cs="Times New Roman"/>
          <w:szCs w:val="24"/>
        </w:rPr>
        <w:t>s an</w:t>
      </w:r>
      <w:r w:rsidR="00DC6928" w:rsidRPr="00B11D8D">
        <w:rPr>
          <w:rFonts w:cs="Times New Roman"/>
          <w:szCs w:val="24"/>
        </w:rPr>
        <w:t xml:space="preserve"> outlying narrative that channels the power of interpretation and enforcement away from the government</w:t>
      </w:r>
      <w:r w:rsidR="00E67C54" w:rsidRPr="00B11D8D">
        <w:rPr>
          <w:rFonts w:cs="Times New Roman"/>
          <w:szCs w:val="24"/>
        </w:rPr>
        <w:t>,</w:t>
      </w:r>
      <w:r w:rsidR="007E499B" w:rsidRPr="00B11D8D">
        <w:rPr>
          <w:rFonts w:cs="Times New Roman"/>
          <w:szCs w:val="24"/>
        </w:rPr>
        <w:t xml:space="preserve"> </w:t>
      </w:r>
      <w:r w:rsidR="00E67C54" w:rsidRPr="00B11D8D">
        <w:rPr>
          <w:rFonts w:cs="Times New Roman"/>
          <w:szCs w:val="24"/>
        </w:rPr>
        <w:t xml:space="preserve">and </w:t>
      </w:r>
      <w:r w:rsidR="007E499B" w:rsidRPr="00B11D8D">
        <w:rPr>
          <w:rFonts w:cs="Times New Roman"/>
          <w:szCs w:val="24"/>
        </w:rPr>
        <w:t>toward the people</w:t>
      </w:r>
      <w:r w:rsidR="00E67C54" w:rsidRPr="00B11D8D">
        <w:rPr>
          <w:rFonts w:cs="Times New Roman"/>
          <w:szCs w:val="24"/>
        </w:rPr>
        <w:t>,</w:t>
      </w:r>
      <w:r w:rsidR="007B0E28" w:rsidRPr="00B11D8D">
        <w:rPr>
          <w:rFonts w:cs="Times New Roman"/>
          <w:szCs w:val="24"/>
        </w:rPr>
        <w:t xml:space="preserve"> in ways that promote the underlying values of the democracy.  Nullification drives the law to bend toward the citizen’s conceived notion of justice, whether that notion is drawn from their understanding of the law or some competing narrative in their own lives.</w:t>
      </w:r>
      <w:bookmarkStart w:id="4" w:name="_Ref340236625"/>
      <w:r w:rsidR="007B0E28" w:rsidRPr="00B11D8D">
        <w:rPr>
          <w:rStyle w:val="Appelnotedebasdep"/>
          <w:rFonts w:cs="Times New Roman"/>
          <w:szCs w:val="24"/>
        </w:rPr>
        <w:footnoteReference w:id="32"/>
      </w:r>
      <w:bookmarkEnd w:id="4"/>
    </w:p>
    <w:p w14:paraId="2BEE4B0F" w14:textId="3A32E4D0" w:rsidR="006732C0" w:rsidRDefault="007B0E28" w:rsidP="006732C0">
      <w:pPr>
        <w:ind w:firstLine="720"/>
        <w:rPr>
          <w:rFonts w:cs="Times New Roman"/>
          <w:szCs w:val="24"/>
        </w:rPr>
      </w:pPr>
      <w:r w:rsidRPr="00B11D8D">
        <w:rPr>
          <w:rFonts w:cs="Times New Roman"/>
          <w:szCs w:val="24"/>
        </w:rPr>
        <w:t>That the citizen juror’s sense of justice may be inconsistent with or in direct conflict with a larger national sense does not undermine its value or displace it as a possible source of law.  Discordant and divergent perspective</w:t>
      </w:r>
      <w:r w:rsidR="00E67C54" w:rsidRPr="00B11D8D">
        <w:rPr>
          <w:rFonts w:cs="Times New Roman"/>
          <w:szCs w:val="24"/>
        </w:rPr>
        <w:t>s</w:t>
      </w:r>
      <w:r w:rsidRPr="00B11D8D">
        <w:rPr>
          <w:rFonts w:cs="Times New Roman"/>
          <w:szCs w:val="24"/>
        </w:rPr>
        <w:t xml:space="preserve"> play a valuable role in the creat</w:t>
      </w:r>
      <w:r w:rsidR="00695D68">
        <w:rPr>
          <w:rFonts w:cs="Times New Roman"/>
          <w:szCs w:val="24"/>
        </w:rPr>
        <w:t xml:space="preserve">ion and interpretation of </w:t>
      </w:r>
      <w:r w:rsidR="00F52173">
        <w:rPr>
          <w:rFonts w:cs="Times New Roman"/>
          <w:szCs w:val="24"/>
        </w:rPr>
        <w:t>law and</w:t>
      </w:r>
      <w:r w:rsidR="00695D68">
        <w:rPr>
          <w:rFonts w:cs="Times New Roman"/>
          <w:szCs w:val="24"/>
        </w:rPr>
        <w:t xml:space="preserve"> guide governance decisions</w:t>
      </w:r>
      <w:r w:rsidRPr="00B11D8D">
        <w:rPr>
          <w:rFonts w:cs="Times New Roman"/>
          <w:szCs w:val="24"/>
        </w:rPr>
        <w:t>.</w:t>
      </w:r>
      <w:bookmarkStart w:id="5" w:name="_Ref340073039"/>
      <w:r w:rsidRPr="00B11D8D">
        <w:rPr>
          <w:rStyle w:val="Appelnotedebasdep"/>
          <w:rFonts w:cs="Times New Roman"/>
          <w:szCs w:val="24"/>
        </w:rPr>
        <w:footnoteReference w:id="33"/>
      </w:r>
      <w:bookmarkEnd w:id="5"/>
      <w:r w:rsidRPr="00B11D8D">
        <w:rPr>
          <w:rFonts w:cs="Times New Roman"/>
          <w:szCs w:val="24"/>
        </w:rPr>
        <w:t xml:space="preserve">  </w:t>
      </w:r>
      <w:r w:rsidR="005246D8" w:rsidRPr="00B11D8D">
        <w:rPr>
          <w:rFonts w:cs="Times New Roman"/>
          <w:szCs w:val="24"/>
        </w:rPr>
        <w:t>Acknowledging the</w:t>
      </w:r>
      <w:r w:rsidRPr="00B11D8D">
        <w:rPr>
          <w:rFonts w:cs="Times New Roman"/>
          <w:szCs w:val="24"/>
        </w:rPr>
        <w:t xml:space="preserve"> difference between the </w:t>
      </w:r>
      <w:r w:rsidR="00584A5F" w:rsidRPr="00B11D8D">
        <w:rPr>
          <w:rFonts w:cs="Times New Roman"/>
          <w:szCs w:val="24"/>
        </w:rPr>
        <w:t>S</w:t>
      </w:r>
      <w:r w:rsidRPr="00B11D8D">
        <w:rPr>
          <w:rFonts w:cs="Times New Roman"/>
          <w:szCs w:val="24"/>
        </w:rPr>
        <w:t xml:space="preserve">tate’s </w:t>
      </w:r>
      <w:r w:rsidR="00584A5F" w:rsidRPr="00B11D8D">
        <w:rPr>
          <w:rFonts w:cs="Times New Roman"/>
          <w:szCs w:val="24"/>
        </w:rPr>
        <w:t xml:space="preserve">formal construction of the </w:t>
      </w:r>
      <w:r w:rsidRPr="00B11D8D">
        <w:rPr>
          <w:rFonts w:cs="Times New Roman"/>
          <w:szCs w:val="24"/>
        </w:rPr>
        <w:t xml:space="preserve">law and the citizen’s </w:t>
      </w:r>
      <w:r w:rsidR="005246D8" w:rsidRPr="00B11D8D">
        <w:rPr>
          <w:rFonts w:cs="Times New Roman"/>
          <w:szCs w:val="24"/>
        </w:rPr>
        <w:t>own sense of it</w:t>
      </w:r>
      <w:r w:rsidR="00584A5F" w:rsidRPr="00B11D8D">
        <w:rPr>
          <w:rFonts w:cs="Times New Roman"/>
          <w:szCs w:val="24"/>
        </w:rPr>
        <w:t xml:space="preserve"> </w:t>
      </w:r>
      <w:r w:rsidRPr="00B11D8D">
        <w:rPr>
          <w:rFonts w:cs="Times New Roman"/>
          <w:szCs w:val="24"/>
        </w:rPr>
        <w:t>pushes against a compl</w:t>
      </w:r>
      <w:r w:rsidR="00695D68">
        <w:rPr>
          <w:rFonts w:cs="Times New Roman"/>
          <w:szCs w:val="24"/>
        </w:rPr>
        <w:t>acency that would suggest that government must maintain only o</w:t>
      </w:r>
      <w:r w:rsidRPr="00B11D8D">
        <w:rPr>
          <w:rFonts w:cs="Times New Roman"/>
          <w:szCs w:val="24"/>
        </w:rPr>
        <w:t>ne perspective</w:t>
      </w:r>
      <w:r w:rsidR="00DA2245" w:rsidRPr="00B11D8D">
        <w:rPr>
          <w:rFonts w:cs="Times New Roman"/>
          <w:szCs w:val="24"/>
        </w:rPr>
        <w:t xml:space="preserve">.  </w:t>
      </w:r>
      <w:r w:rsidR="0066141F">
        <w:rPr>
          <w:rFonts w:cs="Times New Roman"/>
          <w:szCs w:val="24"/>
        </w:rPr>
        <w:t>D</w:t>
      </w:r>
      <w:r w:rsidR="005246D8" w:rsidRPr="00B11D8D">
        <w:rPr>
          <w:rFonts w:cs="Times New Roman"/>
          <w:szCs w:val="24"/>
        </w:rPr>
        <w:t>ivergence</w:t>
      </w:r>
      <w:r w:rsidR="00DA2245" w:rsidRPr="00B11D8D">
        <w:rPr>
          <w:rFonts w:cs="Times New Roman"/>
          <w:szCs w:val="24"/>
        </w:rPr>
        <w:t xml:space="preserve"> rebels against a notion th</w:t>
      </w:r>
      <w:r w:rsidRPr="00B11D8D">
        <w:rPr>
          <w:rFonts w:cs="Times New Roman"/>
          <w:szCs w:val="24"/>
        </w:rPr>
        <w:t>at we as individual citizens are truly singular in our identities</w:t>
      </w:r>
      <w:r w:rsidR="00BE0AD7">
        <w:rPr>
          <w:rFonts w:cs="Times New Roman"/>
          <w:szCs w:val="24"/>
        </w:rPr>
        <w:t>.</w:t>
      </w:r>
      <w:r w:rsidRPr="00B11D8D">
        <w:rPr>
          <w:rFonts w:cs="Times New Roman"/>
          <w:szCs w:val="24"/>
        </w:rPr>
        <w:t xml:space="preserve"> </w:t>
      </w:r>
      <w:r w:rsidR="00BE0AD7">
        <w:rPr>
          <w:rFonts w:cs="Times New Roman"/>
          <w:szCs w:val="24"/>
        </w:rPr>
        <w:t xml:space="preserve"> Rather, we are </w:t>
      </w:r>
      <w:r w:rsidRPr="00B11D8D">
        <w:rPr>
          <w:rFonts w:cs="Times New Roman"/>
          <w:szCs w:val="24"/>
        </w:rPr>
        <w:t xml:space="preserve">the complex and multifaceted sons and daughters of those early revolutionaries (whether actually or metaphorically) who risked their lives rather than offer blind obedience to a government so distant that they could no longer recognize themselves in the laws that sought to govern them.  </w:t>
      </w:r>
      <w:r w:rsidR="00584A5F" w:rsidRPr="00B11D8D">
        <w:rPr>
          <w:rFonts w:cs="Times New Roman"/>
          <w:szCs w:val="24"/>
        </w:rPr>
        <w:t>N</w:t>
      </w:r>
      <w:r w:rsidRPr="00B11D8D">
        <w:rPr>
          <w:rFonts w:cs="Times New Roman"/>
          <w:szCs w:val="24"/>
        </w:rPr>
        <w:t xml:space="preserve">ullification </w:t>
      </w:r>
      <w:r w:rsidR="005246D8" w:rsidRPr="00B11D8D">
        <w:rPr>
          <w:rFonts w:cs="Times New Roman"/>
          <w:szCs w:val="24"/>
        </w:rPr>
        <w:t>empowers a forum for</w:t>
      </w:r>
      <w:r w:rsidR="00584A5F" w:rsidRPr="00B11D8D">
        <w:rPr>
          <w:rFonts w:cs="Times New Roman"/>
          <w:szCs w:val="24"/>
        </w:rPr>
        <w:t xml:space="preserve"> </w:t>
      </w:r>
      <w:r w:rsidRPr="00B11D8D">
        <w:rPr>
          <w:rFonts w:cs="Times New Roman"/>
          <w:szCs w:val="24"/>
        </w:rPr>
        <w:t>our dissent</w:t>
      </w:r>
      <w:r w:rsidR="00584A5F" w:rsidRPr="00B11D8D">
        <w:rPr>
          <w:rFonts w:cs="Times New Roman"/>
          <w:szCs w:val="24"/>
        </w:rPr>
        <w:t xml:space="preserve"> with</w:t>
      </w:r>
      <w:r w:rsidRPr="00B11D8D">
        <w:rPr>
          <w:rFonts w:cs="Times New Roman"/>
          <w:szCs w:val="24"/>
        </w:rPr>
        <w:t>in the</w:t>
      </w:r>
      <w:r w:rsidR="00584A5F" w:rsidRPr="00B11D8D">
        <w:rPr>
          <w:rFonts w:cs="Times New Roman"/>
          <w:szCs w:val="24"/>
        </w:rPr>
        <w:t xml:space="preserve"> larger construct of government</w:t>
      </w:r>
      <w:r w:rsidR="00303EE6">
        <w:rPr>
          <w:rFonts w:cs="Times New Roman"/>
          <w:szCs w:val="24"/>
        </w:rPr>
        <w:t xml:space="preserve"> </w:t>
      </w:r>
      <w:r w:rsidRPr="00B11D8D">
        <w:rPr>
          <w:rFonts w:cs="Times New Roman"/>
          <w:szCs w:val="24"/>
        </w:rPr>
        <w:t xml:space="preserve">– even if </w:t>
      </w:r>
      <w:r w:rsidR="00584A5F" w:rsidRPr="00B11D8D">
        <w:rPr>
          <w:rFonts w:cs="Times New Roman"/>
          <w:szCs w:val="24"/>
        </w:rPr>
        <w:t xml:space="preserve">it is </w:t>
      </w:r>
      <w:r w:rsidRPr="00B11D8D">
        <w:rPr>
          <w:rFonts w:cs="Times New Roman"/>
          <w:szCs w:val="24"/>
        </w:rPr>
        <w:t>only in a small space like a j</w:t>
      </w:r>
      <w:r w:rsidR="00584A5F" w:rsidRPr="00B11D8D">
        <w:rPr>
          <w:rFonts w:cs="Times New Roman"/>
          <w:szCs w:val="24"/>
        </w:rPr>
        <w:t xml:space="preserve">ury room or on a verdict form. </w:t>
      </w:r>
      <w:r w:rsidR="007C6C9E" w:rsidRPr="00B11D8D">
        <w:rPr>
          <w:rFonts w:cs="Times New Roman"/>
          <w:szCs w:val="24"/>
        </w:rPr>
        <w:t xml:space="preserve"> Even that small moment can </w:t>
      </w:r>
      <w:r w:rsidR="007C6C9E" w:rsidRPr="00B11D8D">
        <w:rPr>
          <w:rFonts w:cs="Times New Roman"/>
          <w:szCs w:val="24"/>
        </w:rPr>
        <w:lastRenderedPageBreak/>
        <w:t xml:space="preserve">serve as a catalyst for change </w:t>
      </w:r>
      <w:r w:rsidR="00E37B95" w:rsidRPr="00B11D8D">
        <w:rPr>
          <w:rFonts w:cs="Times New Roman"/>
          <w:szCs w:val="24"/>
        </w:rPr>
        <w:t>when it resonates with a broader community.</w:t>
      </w:r>
      <w:r w:rsidR="00993C50">
        <w:rPr>
          <w:rStyle w:val="Appelnotedebasdep"/>
          <w:rFonts w:cs="Times New Roman"/>
          <w:szCs w:val="24"/>
        </w:rPr>
        <w:footnoteReference w:id="34"/>
      </w:r>
      <w:r w:rsidR="00E37B95" w:rsidRPr="00B11D8D">
        <w:rPr>
          <w:rFonts w:cs="Times New Roman"/>
          <w:szCs w:val="24"/>
        </w:rPr>
        <w:t xml:space="preserve">  </w:t>
      </w:r>
      <w:r w:rsidR="00E06240">
        <w:rPr>
          <w:rFonts w:cs="Times New Roman"/>
          <w:szCs w:val="24"/>
        </w:rPr>
        <w:t>In a world that struggles to produce a nationalized consensus, nullification is a reminder that local forums may be better suited to serve as proving grounds for the dynamic beliefs of the citizenry.</w:t>
      </w:r>
    </w:p>
    <w:p w14:paraId="012F5623" w14:textId="77777777" w:rsidR="0066141F" w:rsidRDefault="00E605DF" w:rsidP="00796274">
      <w:pPr>
        <w:ind w:firstLine="720"/>
        <w:rPr>
          <w:rFonts w:cs="Times New Roman"/>
          <w:szCs w:val="24"/>
        </w:rPr>
      </w:pPr>
      <w:r>
        <w:rPr>
          <w:rFonts w:cs="Times New Roman"/>
          <w:szCs w:val="24"/>
        </w:rPr>
        <w:t>N</w:t>
      </w:r>
      <w:r w:rsidR="002409B8">
        <w:rPr>
          <w:rFonts w:cs="Times New Roman"/>
          <w:szCs w:val="24"/>
        </w:rPr>
        <w:t xml:space="preserve">ullification </w:t>
      </w:r>
      <w:r>
        <w:rPr>
          <w:rFonts w:cs="Times New Roman"/>
          <w:szCs w:val="24"/>
        </w:rPr>
        <w:t xml:space="preserve">also </w:t>
      </w:r>
      <w:r w:rsidR="00796274">
        <w:rPr>
          <w:rFonts w:cs="Times New Roman"/>
          <w:szCs w:val="24"/>
        </w:rPr>
        <w:t>opens other possibilities</w:t>
      </w:r>
      <w:r w:rsidR="002409B8">
        <w:rPr>
          <w:rFonts w:cs="Times New Roman"/>
          <w:szCs w:val="24"/>
        </w:rPr>
        <w:t>.  Just as it opens a space for competing voices in the larger body politic, it opens up the possibility of a law constructed in spaces that acknowledge the horizontal and vertical components of citizens’ lives.  In this it offers the possibility of integrati</w:t>
      </w:r>
      <w:r w:rsidR="002B2B74">
        <w:rPr>
          <w:rFonts w:cs="Times New Roman"/>
          <w:szCs w:val="24"/>
        </w:rPr>
        <w:t>ng</w:t>
      </w:r>
      <w:r w:rsidR="002409B8">
        <w:rPr>
          <w:rFonts w:cs="Times New Roman"/>
          <w:szCs w:val="24"/>
        </w:rPr>
        <w:t xml:space="preserve"> the competing pluralisms that compose the lives of the governed and imagines a law that seeks to account for shifting </w:t>
      </w:r>
      <w:r w:rsidR="0066141F">
        <w:rPr>
          <w:rFonts w:cs="Times New Roman"/>
          <w:szCs w:val="24"/>
        </w:rPr>
        <w:t xml:space="preserve">allegiances and </w:t>
      </w:r>
      <w:r w:rsidR="002409B8">
        <w:rPr>
          <w:rFonts w:cs="Times New Roman"/>
          <w:szCs w:val="24"/>
        </w:rPr>
        <w:t>identities even as it seeks to establish law</w:t>
      </w:r>
      <w:r w:rsidR="0066141F">
        <w:rPr>
          <w:rFonts w:cs="Times New Roman"/>
          <w:szCs w:val="24"/>
        </w:rPr>
        <w:t xml:space="preserve"> </w:t>
      </w:r>
    </w:p>
    <w:p w14:paraId="100835AA" w14:textId="61C33111" w:rsidR="002409B8" w:rsidRDefault="002409B8" w:rsidP="0066141F">
      <w:pPr>
        <w:ind w:firstLine="720"/>
      </w:pPr>
      <w:r>
        <w:t>People exist horizontally and vertically.  Their identities are a combination of traits, beliefs or associations that groups them along these competing axes.  They are vertical in relation to formal hierarchy.  In the terms of governance they are citizen and/or elected or appointed officials.  Their formal role in the creation of law is defined by the vertical space or spaces they occupy.  A citizen votes.</w:t>
      </w:r>
      <w:r w:rsidR="00A94F87">
        <w:rPr>
          <w:rStyle w:val="Appelnotedebasdep"/>
        </w:rPr>
        <w:footnoteReference w:id="35"/>
      </w:r>
      <w:r>
        <w:t xml:space="preserve">  </w:t>
      </w:r>
      <w:r w:rsidR="00993C50">
        <w:t>H</w:t>
      </w:r>
      <w:r>
        <w:t>e hopes to elect a representative whom he then hopes will implement policies consistent with the citizen’s own values or expectations.  If the representative fails in that assigned role or the citizen changes h</w:t>
      </w:r>
      <w:r w:rsidR="00993C50">
        <w:t>is</w:t>
      </w:r>
      <w:r>
        <w:t xml:space="preserve"> mind on what he expects from the representative, the citizen is still confined to the remedies of the vertical space he occupies.  </w:t>
      </w:r>
      <w:r w:rsidR="00A94F87">
        <w:t xml:space="preserve">For most </w:t>
      </w:r>
      <w:r>
        <w:t>citizen</w:t>
      </w:r>
      <w:r w:rsidR="00A94F87">
        <w:t xml:space="preserve">s, this space is </w:t>
      </w:r>
      <w:r>
        <w:t xml:space="preserve">a bottom </w:t>
      </w:r>
      <w:r w:rsidR="00A94F87">
        <w:t xml:space="preserve">rung </w:t>
      </w:r>
      <w:r>
        <w:t xml:space="preserve">in the vertical hierarchy of governance.  The citizen is common.  </w:t>
      </w:r>
      <w:r w:rsidR="00993C50">
        <w:t>H</w:t>
      </w:r>
      <w:r>
        <w:t>e is the mass that elects the few that govern from a higher vertical space then h</w:t>
      </w:r>
      <w:r w:rsidR="00993C50">
        <w:t>is</w:t>
      </w:r>
      <w:r>
        <w:t xml:space="preserve"> own.  Those few</w:t>
      </w:r>
      <w:r w:rsidR="002B2B74">
        <w:t xml:space="preserve"> </w:t>
      </w:r>
      <w:r w:rsidR="00F52173">
        <w:t>– the</w:t>
      </w:r>
      <w:r>
        <w:t xml:space="preserve"> members of higher echelons of this vertical construct</w:t>
      </w:r>
      <w:r w:rsidR="002B2B74">
        <w:t xml:space="preserve"> – </w:t>
      </w:r>
      <w:r>
        <w:t>write laws, execute law</w:t>
      </w:r>
      <w:r w:rsidR="002B2B74">
        <w:t>s</w:t>
      </w:r>
      <w:r>
        <w:t xml:space="preserve"> or interpret laws depending on which branch of vertical space they occupy.  They are the formal lawmakers.  They simultaneously </w:t>
      </w:r>
      <w:r w:rsidR="00F52173">
        <w:t>represent and</w:t>
      </w:r>
      <w:r>
        <w:t xml:space="preserve"> govern.  Their words become law.  The citizen waits for their pronouncements to tell h</w:t>
      </w:r>
      <w:r w:rsidR="00993C50">
        <w:t>im</w:t>
      </w:r>
      <w:r>
        <w:t xml:space="preserve"> what is or is not permitted.</w:t>
      </w:r>
    </w:p>
    <w:p w14:paraId="25FF7009" w14:textId="264905D7" w:rsidR="009167EF" w:rsidRDefault="002409B8" w:rsidP="009167EF">
      <w:pPr>
        <w:ind w:firstLine="720"/>
      </w:pPr>
      <w:r>
        <w:t xml:space="preserve">But people also occupy horizontal spaces.  Spread out across the plane that is personhood, individuals simultaneously answer to different names, </w:t>
      </w:r>
      <w:r w:rsidR="00303EE6">
        <w:t xml:space="preserve">different </w:t>
      </w:r>
      <w:r>
        <w:t xml:space="preserve">identities.  Some may be </w:t>
      </w:r>
      <w:r w:rsidR="00F52173">
        <w:t>disjunctive;</w:t>
      </w:r>
      <w:r>
        <w:t xml:space="preserve"> a citizen is a man or woman, son or daughter, husband or wife</w:t>
      </w:r>
      <w:r w:rsidR="00303EE6">
        <w:t>,</w:t>
      </w:r>
      <w:r>
        <w:t xml:space="preserve"> </w:t>
      </w:r>
      <w:r>
        <w:lastRenderedPageBreak/>
        <w:t xml:space="preserve">or partner or single.  He is Jewish, or </w:t>
      </w:r>
      <w:r w:rsidR="00303EE6">
        <w:t>P</w:t>
      </w:r>
      <w:r>
        <w:t xml:space="preserve">rotestant, or </w:t>
      </w:r>
      <w:r w:rsidR="00303EE6">
        <w:t>C</w:t>
      </w:r>
      <w:r>
        <w:t xml:space="preserve">atholic, or Islamic, or Buddhist, or Zoroastrian, or some other religion, or agnostic.  Others </w:t>
      </w:r>
      <w:r w:rsidR="00303EE6">
        <w:t xml:space="preserve">are </w:t>
      </w:r>
      <w:r>
        <w:t>conjunctive</w:t>
      </w:r>
      <w:r w:rsidR="00303EE6">
        <w:t>:</w:t>
      </w:r>
      <w:r>
        <w:t xml:space="preserve"> he is a sports enthusiast and a knitter and a florist and a clarinetist and the author of an award</w:t>
      </w:r>
      <w:r w:rsidR="009167EF">
        <w:t>-</w:t>
      </w:r>
      <w:r>
        <w:t xml:space="preserve">winning series of </w:t>
      </w:r>
      <w:r w:rsidR="008D6588">
        <w:t xml:space="preserve">ladies’ </w:t>
      </w:r>
      <w:r>
        <w:t>romance novels set in nineteenth</w:t>
      </w:r>
      <w:r w:rsidR="00303EE6">
        <w:t>-</w:t>
      </w:r>
      <w:r>
        <w:t xml:space="preserve">century England.  He supports equal rights, but not gay marriage.  He is pro life and pro death penalty.  He owns a gun, but supports gun restrictions.  </w:t>
      </w:r>
    </w:p>
    <w:p w14:paraId="5379CDDE" w14:textId="77777777" w:rsidR="00A94F87" w:rsidRDefault="002409B8" w:rsidP="009167EF">
      <w:pPr>
        <w:ind w:firstLine="720"/>
      </w:pPr>
      <w:r>
        <w:t xml:space="preserve">The list goes on and on in any of a multitude of combinations.  The details don’t matter as much as the recognition that people draw their identities from many sources.  </w:t>
      </w:r>
      <w:r w:rsidR="00F85909">
        <w:t>These s</w:t>
      </w:r>
      <w:r>
        <w:t>ources at times may crash against one another in a struggle for value dominance.  Should this citizen vote for municipal bonds that fund a new hockey arena or an orchestra hall?  Should he push for state</w:t>
      </w:r>
      <w:r w:rsidR="00303EE6">
        <w:t>-</w:t>
      </w:r>
      <w:r>
        <w:t>run health insurance to cover independent contractors like authors that might also fund abortions for women in lower income brackets?  In each of these decisions, he weighs the competing values of his horizontal identity in order to exercise his vertical one.  He seeks to reconcile the pluralism that is his life.</w:t>
      </w:r>
      <w:r w:rsidR="00A94F87">
        <w:t xml:space="preserve">  In this process of reconciliation</w:t>
      </w:r>
      <w:r w:rsidR="00F85909">
        <w:t>,</w:t>
      </w:r>
      <w:r w:rsidR="00A94F87">
        <w:t xml:space="preserve"> questions of obedience and deference inevitably loom.  </w:t>
      </w:r>
      <w:r w:rsidR="009C65F2">
        <w:t xml:space="preserve">On the one hand, theories of liberal governance would support the notion that the citizen owes deference to the law – even laws </w:t>
      </w:r>
      <w:r w:rsidR="00303EE6">
        <w:t xml:space="preserve">that </w:t>
      </w:r>
      <w:r w:rsidR="009C65F2">
        <w:t>conflict with the citizen’s underlying moral values.</w:t>
      </w:r>
      <w:r w:rsidR="009C65F2">
        <w:rPr>
          <w:rStyle w:val="Appelnotedebasdep"/>
        </w:rPr>
        <w:footnoteReference w:id="36"/>
      </w:r>
      <w:r w:rsidR="009C65F2">
        <w:t xml:space="preserve">  </w:t>
      </w:r>
      <w:r w:rsidR="00F85909">
        <w:t xml:space="preserve">On the other hand, the citizen may ask whether he </w:t>
      </w:r>
      <w:r w:rsidR="00D70315">
        <w:t>owe</w:t>
      </w:r>
      <w:r w:rsidR="00F85909">
        <w:t>s</w:t>
      </w:r>
      <w:r w:rsidR="00D70315">
        <w:t xml:space="preserve"> </w:t>
      </w:r>
      <w:r w:rsidR="00EE52A7">
        <w:t>deference</w:t>
      </w:r>
      <w:r w:rsidR="00D70315">
        <w:t xml:space="preserve"> to formally constructed law </w:t>
      </w:r>
      <w:r w:rsidR="00F85909">
        <w:t xml:space="preserve">and </w:t>
      </w:r>
      <w:r w:rsidR="00D70315">
        <w:t>the government above all other constructs of social value and competing pluralism?</w:t>
      </w:r>
      <w:r w:rsidR="00D70315">
        <w:rPr>
          <w:rStyle w:val="Appelnotedebasdep"/>
        </w:rPr>
        <w:footnoteReference w:id="37"/>
      </w:r>
    </w:p>
    <w:p w14:paraId="02DB8F83" w14:textId="19830CC6" w:rsidR="002409B8" w:rsidRDefault="002409B8" w:rsidP="009167EF">
      <w:pPr>
        <w:ind w:firstLine="720"/>
      </w:pPr>
      <w:r>
        <w:t xml:space="preserve">As an informal source of law, nullification offers a mechanism to allow citizens to explore pluralism in the context of real applied law.  In a jury room a citizen may well be engaged in the same process of compromise that informs the participation of his vertical self in the context of formal </w:t>
      </w:r>
      <w:r w:rsidR="00954AB4">
        <w:t>law-making</w:t>
      </w:r>
      <w:r w:rsidR="009167EF">
        <w:t>.</w:t>
      </w:r>
      <w:r>
        <w:t xml:space="preserve"> </w:t>
      </w:r>
      <w:r w:rsidR="009167EF">
        <w:t xml:space="preserve"> B</w:t>
      </w:r>
      <w:r>
        <w:t>ut the jury room also opens the possibility that</w:t>
      </w:r>
      <w:r w:rsidR="0019130F">
        <w:t>,</w:t>
      </w:r>
      <w:r>
        <w:t xml:space="preserve"> when given the chance to explore his horizontal self in the context of the application </w:t>
      </w:r>
      <w:r>
        <w:lastRenderedPageBreak/>
        <w:t xml:space="preserve">of the law, he may reach a different conclusion.  Even the man who supports gun control legislation </w:t>
      </w:r>
      <w:r w:rsidR="00303EE6">
        <w:t xml:space="preserve">in </w:t>
      </w:r>
      <w:r>
        <w:t>general may w</w:t>
      </w:r>
      <w:r w:rsidR="00D70315">
        <w:t>eigh</w:t>
      </w:r>
      <w:r>
        <w:t xml:space="preserve"> his competing allegiances different</w:t>
      </w:r>
      <w:r w:rsidR="009167EF">
        <w:t>ly</w:t>
      </w:r>
      <w:r>
        <w:t xml:space="preserve"> when asked to apply that gun control to a fellow knitter who defended herself with an illegally possessed firearm.  In this process of compromise, the nullifying juror opens a new realm of law – one </w:t>
      </w:r>
      <w:r w:rsidR="00303EE6">
        <w:t xml:space="preserve">that </w:t>
      </w:r>
      <w:r>
        <w:t>seeks to integrate the competing internal identities of the citizen.</w:t>
      </w:r>
      <w:r w:rsidR="00D70315">
        <w:t xml:space="preserve">  Nullification challenges the notion that obedience to the law and faith in the </w:t>
      </w:r>
      <w:r w:rsidR="00C463DA">
        <w:t>government</w:t>
      </w:r>
      <w:r w:rsidR="00D70315">
        <w:t xml:space="preserve"> enjoy only one construct.  It suggests instead that just as liberal governance implores the citizen to be faithful to the law, so those who would make and interpret law must be faithful to competing sources of meaning that in different contexts may push competing norms of identity to the surface when the law is placed in our normative world.</w:t>
      </w:r>
    </w:p>
    <w:p w14:paraId="3C1D45E5" w14:textId="77777777" w:rsidR="00E476F7" w:rsidRDefault="00E37B95" w:rsidP="007B0E28">
      <w:pPr>
        <w:ind w:firstLine="720"/>
        <w:rPr>
          <w:rFonts w:cs="Times New Roman"/>
          <w:szCs w:val="24"/>
        </w:rPr>
      </w:pPr>
      <w:r w:rsidRPr="00B11D8D">
        <w:rPr>
          <w:rFonts w:cs="Times New Roman"/>
          <w:szCs w:val="24"/>
        </w:rPr>
        <w:t>In this nullification serves many masters.  It elevates a previously excluded voice within the confines of formal government and pushes back against an unresponsive construction of law</w:t>
      </w:r>
      <w:r w:rsidR="002409B8">
        <w:rPr>
          <w:rFonts w:cs="Times New Roman"/>
          <w:szCs w:val="24"/>
        </w:rPr>
        <w:t>, while opening up a new forum for expression of the citizen’s competing values and ideals</w:t>
      </w:r>
      <w:r w:rsidRPr="00B11D8D">
        <w:rPr>
          <w:rFonts w:cs="Times New Roman"/>
          <w:szCs w:val="24"/>
        </w:rPr>
        <w:t>.</w:t>
      </w:r>
      <w:r w:rsidRPr="00B11D8D">
        <w:rPr>
          <w:rStyle w:val="Appelnotedebasdep"/>
          <w:rFonts w:cs="Times New Roman"/>
          <w:szCs w:val="24"/>
        </w:rPr>
        <w:footnoteReference w:id="38"/>
      </w:r>
      <w:r w:rsidRPr="00B11D8D">
        <w:rPr>
          <w:rFonts w:cs="Times New Roman"/>
          <w:szCs w:val="24"/>
        </w:rPr>
        <w:t xml:space="preserve">  But it also offers a moment of </w:t>
      </w:r>
      <w:r w:rsidR="007C6C9E" w:rsidRPr="00B11D8D">
        <w:rPr>
          <w:rFonts w:cs="Times New Roman"/>
          <w:szCs w:val="24"/>
        </w:rPr>
        <w:t xml:space="preserve">reconciliation between the formal </w:t>
      </w:r>
      <w:r w:rsidRPr="00B11D8D">
        <w:rPr>
          <w:rFonts w:cs="Times New Roman"/>
          <w:szCs w:val="24"/>
        </w:rPr>
        <w:t xml:space="preserve">construction and the citizen’s conception of law that </w:t>
      </w:r>
      <w:r w:rsidR="007B0E28" w:rsidRPr="00B11D8D">
        <w:rPr>
          <w:rFonts w:cs="Times New Roman"/>
          <w:szCs w:val="24"/>
        </w:rPr>
        <w:t xml:space="preserve">saves the whole </w:t>
      </w:r>
      <w:r w:rsidR="00E67C54" w:rsidRPr="00B11D8D">
        <w:rPr>
          <w:rFonts w:cs="Times New Roman"/>
          <w:szCs w:val="24"/>
        </w:rPr>
        <w:t xml:space="preserve">by </w:t>
      </w:r>
      <w:r w:rsidR="007B0E28" w:rsidRPr="00B11D8D">
        <w:rPr>
          <w:rFonts w:cs="Times New Roman"/>
          <w:szCs w:val="24"/>
        </w:rPr>
        <w:t>forc</w:t>
      </w:r>
      <w:r w:rsidRPr="00B11D8D">
        <w:rPr>
          <w:rFonts w:cs="Times New Roman"/>
          <w:szCs w:val="24"/>
        </w:rPr>
        <w:t>ing</w:t>
      </w:r>
      <w:r w:rsidR="007B0E28" w:rsidRPr="00B11D8D">
        <w:rPr>
          <w:rFonts w:cs="Times New Roman"/>
          <w:szCs w:val="24"/>
        </w:rPr>
        <w:t xml:space="preserve"> an alter</w:t>
      </w:r>
      <w:r w:rsidR="004A642E">
        <w:rPr>
          <w:rFonts w:cs="Times New Roman"/>
          <w:szCs w:val="24"/>
        </w:rPr>
        <w:t>a</w:t>
      </w:r>
      <w:r w:rsidR="007B0E28" w:rsidRPr="00B11D8D">
        <w:rPr>
          <w:rFonts w:cs="Times New Roman"/>
          <w:szCs w:val="24"/>
        </w:rPr>
        <w:t>tion</w:t>
      </w:r>
      <w:r w:rsidR="00E67C54" w:rsidRPr="00B11D8D">
        <w:rPr>
          <w:rFonts w:cs="Times New Roman"/>
          <w:szCs w:val="24"/>
        </w:rPr>
        <w:t xml:space="preserve"> or</w:t>
      </w:r>
      <w:r w:rsidR="007B0E28" w:rsidRPr="00B11D8D">
        <w:rPr>
          <w:rFonts w:cs="Times New Roman"/>
          <w:szCs w:val="24"/>
        </w:rPr>
        <w:t xml:space="preserve"> an exception, rather than wholesale rebellion.</w:t>
      </w:r>
      <w:r w:rsidRPr="00B11D8D">
        <w:rPr>
          <w:rFonts w:cs="Times New Roman"/>
          <w:szCs w:val="24"/>
        </w:rPr>
        <w:t xml:space="preserve">  It creates a space in the government for those </w:t>
      </w:r>
      <w:r w:rsidR="00E67C54" w:rsidRPr="00B11D8D">
        <w:rPr>
          <w:rFonts w:cs="Times New Roman"/>
          <w:szCs w:val="24"/>
        </w:rPr>
        <w:t xml:space="preserve">who </w:t>
      </w:r>
      <w:r w:rsidRPr="00B11D8D">
        <w:rPr>
          <w:rFonts w:cs="Times New Roman"/>
          <w:szCs w:val="24"/>
        </w:rPr>
        <w:t>might otherwise be forced to exit.</w:t>
      </w:r>
      <w:r w:rsidR="007B0E28" w:rsidRPr="00B11D8D">
        <w:rPr>
          <w:rStyle w:val="Appelnotedebasdep"/>
          <w:rFonts w:cs="Times New Roman"/>
          <w:szCs w:val="24"/>
        </w:rPr>
        <w:footnoteReference w:id="39"/>
      </w:r>
      <w:r w:rsidR="007B0E28" w:rsidRPr="00B11D8D">
        <w:rPr>
          <w:rFonts w:cs="Times New Roman"/>
          <w:szCs w:val="24"/>
        </w:rPr>
        <w:t xml:space="preserve">  The nullified verdict is a warning of a perceived distance between the citizen’s sense of justice in a single case and the law itself.  Like all warnings it can fall on deaf ears, or if heard it can fail to resonate with a larger audience that might effectuate some change.  But in those moments when it does resonate</w:t>
      </w:r>
      <w:r w:rsidR="00E67C54" w:rsidRPr="00B11D8D">
        <w:rPr>
          <w:rFonts w:cs="Times New Roman"/>
          <w:szCs w:val="24"/>
        </w:rPr>
        <w:t>,</w:t>
      </w:r>
      <w:r w:rsidR="007B0E28" w:rsidRPr="00B11D8D">
        <w:rPr>
          <w:rFonts w:cs="Times New Roman"/>
          <w:szCs w:val="24"/>
        </w:rPr>
        <w:t xml:space="preserve"> it is a call to produce a more responsive law</w:t>
      </w:r>
      <w:r w:rsidR="00E67C54" w:rsidRPr="00B11D8D">
        <w:rPr>
          <w:rFonts w:cs="Times New Roman"/>
          <w:szCs w:val="24"/>
        </w:rPr>
        <w:t xml:space="preserve"> –</w:t>
      </w:r>
      <w:r w:rsidR="007B0E28" w:rsidRPr="00B11D8D">
        <w:rPr>
          <w:rFonts w:cs="Times New Roman"/>
          <w:szCs w:val="24"/>
        </w:rPr>
        <w:t xml:space="preserve"> </w:t>
      </w:r>
      <w:r w:rsidR="00E67C54" w:rsidRPr="00B11D8D">
        <w:rPr>
          <w:rFonts w:cs="Times New Roman"/>
          <w:szCs w:val="24"/>
        </w:rPr>
        <w:t>o</w:t>
      </w:r>
      <w:r w:rsidR="007B0E28" w:rsidRPr="00B11D8D">
        <w:rPr>
          <w:rFonts w:cs="Times New Roman"/>
          <w:szCs w:val="24"/>
        </w:rPr>
        <w:t>ne that is truly created by the people and not handed to them whole from the government that</w:t>
      </w:r>
      <w:r w:rsidR="00E67C54" w:rsidRPr="00B11D8D">
        <w:rPr>
          <w:rFonts w:cs="Times New Roman"/>
          <w:szCs w:val="24"/>
        </w:rPr>
        <w:t>,</w:t>
      </w:r>
      <w:r w:rsidR="007B0E28" w:rsidRPr="00B11D8D">
        <w:rPr>
          <w:rFonts w:cs="Times New Roman"/>
          <w:szCs w:val="24"/>
        </w:rPr>
        <w:t xml:space="preserve"> once receiving their votes</w:t>
      </w:r>
      <w:r w:rsidR="00E67C54" w:rsidRPr="00B11D8D">
        <w:rPr>
          <w:rFonts w:cs="Times New Roman"/>
          <w:szCs w:val="24"/>
        </w:rPr>
        <w:t>,</w:t>
      </w:r>
      <w:r w:rsidR="007B0E28" w:rsidRPr="00B11D8D">
        <w:rPr>
          <w:rFonts w:cs="Times New Roman"/>
          <w:szCs w:val="24"/>
        </w:rPr>
        <w:t xml:space="preserve"> can easily blend into a ruling class with</w:t>
      </w:r>
      <w:r w:rsidR="00E67C54" w:rsidRPr="00B11D8D">
        <w:rPr>
          <w:rFonts w:cs="Times New Roman"/>
          <w:szCs w:val="24"/>
        </w:rPr>
        <w:t xml:space="preserve"> no </w:t>
      </w:r>
      <w:r w:rsidR="007B0E28" w:rsidRPr="00B11D8D">
        <w:rPr>
          <w:rFonts w:cs="Times New Roman"/>
          <w:szCs w:val="24"/>
        </w:rPr>
        <w:t xml:space="preserve">true connection to the citizens it serves.  </w:t>
      </w:r>
    </w:p>
    <w:p w14:paraId="4A0F299A" w14:textId="77777777" w:rsidR="004A642E" w:rsidRDefault="007B0E28" w:rsidP="007E499B">
      <w:pPr>
        <w:ind w:firstLine="720"/>
        <w:rPr>
          <w:rFonts w:cs="Times New Roman"/>
          <w:szCs w:val="24"/>
        </w:rPr>
      </w:pPr>
      <w:r w:rsidRPr="00B11D8D">
        <w:rPr>
          <w:rFonts w:cs="Times New Roman"/>
          <w:szCs w:val="24"/>
        </w:rPr>
        <w:t xml:space="preserve">In a world </w:t>
      </w:r>
      <w:r w:rsidR="009A33CC">
        <w:rPr>
          <w:rFonts w:cs="Times New Roman"/>
          <w:szCs w:val="24"/>
        </w:rPr>
        <w:t>where</w:t>
      </w:r>
      <w:r w:rsidRPr="00B11D8D">
        <w:rPr>
          <w:rFonts w:cs="Times New Roman"/>
          <w:szCs w:val="24"/>
        </w:rPr>
        <w:t xml:space="preserve"> </w:t>
      </w:r>
      <w:r w:rsidR="00E476F7">
        <w:rPr>
          <w:rFonts w:cs="Times New Roman"/>
          <w:szCs w:val="24"/>
        </w:rPr>
        <w:t xml:space="preserve">many </w:t>
      </w:r>
      <w:r w:rsidRPr="00B11D8D">
        <w:rPr>
          <w:rFonts w:cs="Times New Roman"/>
          <w:szCs w:val="24"/>
        </w:rPr>
        <w:t>citizens do not vote, even in local elections, because they sense that their vote won’t matter</w:t>
      </w:r>
      <w:r w:rsidR="009A33CC">
        <w:rPr>
          <w:rFonts w:cs="Times New Roman"/>
          <w:szCs w:val="24"/>
        </w:rPr>
        <w:t>,</w:t>
      </w:r>
      <w:r w:rsidRPr="00B11D8D">
        <w:rPr>
          <w:rFonts w:cs="Times New Roman"/>
          <w:szCs w:val="24"/>
        </w:rPr>
        <w:t xml:space="preserve"> a vote in a room of twelve fellow citizens lifts this </w:t>
      </w:r>
      <w:r w:rsidRPr="00B11D8D">
        <w:rPr>
          <w:rFonts w:cs="Times New Roman"/>
          <w:szCs w:val="24"/>
        </w:rPr>
        <w:lastRenderedPageBreak/>
        <w:t>hopelessness.  A jury vote</w:t>
      </w:r>
      <w:r w:rsidR="00E67C54" w:rsidRPr="00B11D8D">
        <w:rPr>
          <w:rFonts w:cs="Times New Roman"/>
          <w:szCs w:val="24"/>
        </w:rPr>
        <w:t xml:space="preserve"> –</w:t>
      </w:r>
      <w:r w:rsidRPr="00B11D8D">
        <w:rPr>
          <w:rFonts w:cs="Times New Roman"/>
          <w:szCs w:val="24"/>
        </w:rPr>
        <w:t xml:space="preserve"> every jury vote</w:t>
      </w:r>
      <w:r w:rsidR="00E67C54" w:rsidRPr="00B11D8D">
        <w:rPr>
          <w:rFonts w:cs="Times New Roman"/>
          <w:szCs w:val="24"/>
        </w:rPr>
        <w:t xml:space="preserve"> –</w:t>
      </w:r>
      <w:r w:rsidRPr="00B11D8D">
        <w:rPr>
          <w:rFonts w:cs="Times New Roman"/>
          <w:szCs w:val="24"/>
        </w:rPr>
        <w:t xml:space="preserve"> matters.  One jury vote can be the difference between a conviction and a hung jury.  What the jury lacks by way of an “empire</w:t>
      </w:r>
      <w:r w:rsidR="00E67C54" w:rsidRPr="00B11D8D">
        <w:rPr>
          <w:rFonts w:cs="Times New Roman"/>
          <w:szCs w:val="24"/>
        </w:rPr>
        <w:t>,</w:t>
      </w:r>
      <w:r w:rsidRPr="00B11D8D">
        <w:rPr>
          <w:rFonts w:cs="Times New Roman"/>
          <w:szCs w:val="24"/>
        </w:rPr>
        <w:t>” with its limited power and jurisdiction, it makes up for as a site of meaningful “minority” rule in the face of a nationalistic push toward consensus that the community may not accept.</w:t>
      </w:r>
      <w:r w:rsidRPr="00B11D8D">
        <w:rPr>
          <w:rStyle w:val="Appelnotedebasdep"/>
          <w:rFonts w:cs="Times New Roman"/>
          <w:szCs w:val="24"/>
        </w:rPr>
        <w:footnoteReference w:id="40"/>
      </w:r>
      <w:r w:rsidRPr="00B11D8D">
        <w:rPr>
          <w:rFonts w:cs="Times New Roman"/>
          <w:szCs w:val="24"/>
        </w:rPr>
        <w:t xml:space="preserve">  In this sense, nullification does not undermine </w:t>
      </w:r>
      <w:r w:rsidR="002508BB">
        <w:rPr>
          <w:rFonts w:cs="Times New Roman"/>
          <w:szCs w:val="24"/>
        </w:rPr>
        <w:t>or merely</w:t>
      </w:r>
      <w:r w:rsidRPr="00B11D8D">
        <w:rPr>
          <w:rFonts w:cs="Times New Roman"/>
          <w:szCs w:val="24"/>
        </w:rPr>
        <w:t xml:space="preserve"> correct the imperfections of the law</w:t>
      </w:r>
      <w:r w:rsidR="004911DE" w:rsidRPr="00B11D8D">
        <w:rPr>
          <w:rFonts w:cs="Times New Roman"/>
          <w:szCs w:val="24"/>
        </w:rPr>
        <w:t xml:space="preserve"> –</w:t>
      </w:r>
      <w:r w:rsidRPr="00B11D8D">
        <w:rPr>
          <w:rFonts w:cs="Times New Roman"/>
          <w:szCs w:val="24"/>
        </w:rPr>
        <w:t xml:space="preserve"> </w:t>
      </w:r>
      <w:r w:rsidR="002508BB">
        <w:rPr>
          <w:rFonts w:cs="Times New Roman"/>
          <w:szCs w:val="24"/>
        </w:rPr>
        <w:t xml:space="preserve">it offers a moment of meaningful democracy, </w:t>
      </w:r>
      <w:r w:rsidR="009A33CC">
        <w:rPr>
          <w:rFonts w:cs="Times New Roman"/>
          <w:szCs w:val="24"/>
        </w:rPr>
        <w:t xml:space="preserve">and </w:t>
      </w:r>
      <w:r w:rsidRPr="00B11D8D">
        <w:rPr>
          <w:rFonts w:cs="Times New Roman"/>
          <w:szCs w:val="24"/>
        </w:rPr>
        <w:t>relief from the rigors of a formalist construction.</w:t>
      </w:r>
      <w:r w:rsidRPr="00B11D8D">
        <w:rPr>
          <w:rStyle w:val="Appelnotedebasdep"/>
          <w:rFonts w:cs="Times New Roman"/>
          <w:szCs w:val="24"/>
        </w:rPr>
        <w:footnoteReference w:id="41"/>
      </w:r>
      <w:r w:rsidRPr="00B11D8D">
        <w:rPr>
          <w:rFonts w:cs="Times New Roman"/>
          <w:szCs w:val="24"/>
        </w:rPr>
        <w:t xml:space="preserve"> </w:t>
      </w:r>
      <w:r w:rsidR="00AC6D25">
        <w:rPr>
          <w:rFonts w:cs="Times New Roman"/>
          <w:szCs w:val="24"/>
        </w:rPr>
        <w:t xml:space="preserve"> This construct of jury as a source of law is consistent with the Founders’ own distrust of concentrations of power within the democracy.  Just as the three branches serve as a system of multiple checking mechanisms on the power of formal government, the jury as a source of law forces an accounting with the possibility of an alternative interpretation of (or even rejection of) the law.</w:t>
      </w:r>
      <w:r w:rsidR="00AC6D25">
        <w:rPr>
          <w:rStyle w:val="Appelnotedebasdep"/>
          <w:rFonts w:cs="Times New Roman"/>
          <w:szCs w:val="24"/>
        </w:rPr>
        <w:footnoteReference w:id="42"/>
      </w:r>
      <w:r w:rsidR="00AC6D25">
        <w:rPr>
          <w:rFonts w:cs="Times New Roman"/>
          <w:szCs w:val="24"/>
        </w:rPr>
        <w:t xml:space="preserve">  </w:t>
      </w:r>
    </w:p>
    <w:p w14:paraId="42BBC765" w14:textId="77777777" w:rsidR="00847440" w:rsidRDefault="0054209C" w:rsidP="007E499B">
      <w:pPr>
        <w:ind w:firstLine="720"/>
        <w:rPr>
          <w:rFonts w:cs="Times New Roman"/>
          <w:szCs w:val="24"/>
        </w:rPr>
      </w:pPr>
      <w:r>
        <w:rPr>
          <w:rFonts w:cs="Times New Roman"/>
          <w:szCs w:val="24"/>
        </w:rPr>
        <w:t xml:space="preserve">In this sense, </w:t>
      </w:r>
      <w:r w:rsidR="009A33CC">
        <w:rPr>
          <w:rFonts w:cs="Times New Roman"/>
          <w:szCs w:val="24"/>
        </w:rPr>
        <w:t xml:space="preserve">nullification </w:t>
      </w:r>
      <w:r>
        <w:rPr>
          <w:rFonts w:cs="Times New Roman"/>
          <w:szCs w:val="24"/>
        </w:rPr>
        <w:t>create</w:t>
      </w:r>
      <w:r w:rsidR="003F1491">
        <w:rPr>
          <w:rFonts w:cs="Times New Roman"/>
          <w:szCs w:val="24"/>
        </w:rPr>
        <w:t>s</w:t>
      </w:r>
      <w:r w:rsidR="007E499B" w:rsidRPr="00B11D8D">
        <w:rPr>
          <w:rFonts w:cs="Times New Roman"/>
          <w:szCs w:val="24"/>
        </w:rPr>
        <w:t xml:space="preserve"> a more knowable</w:t>
      </w:r>
      <w:r>
        <w:rPr>
          <w:rFonts w:cs="Times New Roman"/>
          <w:szCs w:val="24"/>
        </w:rPr>
        <w:t>, more consistent</w:t>
      </w:r>
      <w:r w:rsidR="007E499B" w:rsidRPr="00B11D8D">
        <w:rPr>
          <w:rFonts w:cs="Times New Roman"/>
          <w:szCs w:val="24"/>
        </w:rPr>
        <w:t xml:space="preserve"> law</w:t>
      </w:r>
      <w:r w:rsidR="003F1491">
        <w:rPr>
          <w:rFonts w:cs="Times New Roman"/>
          <w:szCs w:val="24"/>
        </w:rPr>
        <w:t xml:space="preserve">, insofar as it </w:t>
      </w:r>
      <w:r w:rsidR="00B24FEB" w:rsidRPr="00B11D8D">
        <w:rPr>
          <w:rFonts w:cs="Times New Roman"/>
          <w:szCs w:val="24"/>
        </w:rPr>
        <w:t>conforms to the citizens</w:t>
      </w:r>
      <w:r w:rsidR="009A33CC">
        <w:rPr>
          <w:rFonts w:cs="Times New Roman"/>
          <w:szCs w:val="24"/>
        </w:rPr>
        <w:t>’</w:t>
      </w:r>
      <w:r w:rsidR="00B24FEB" w:rsidRPr="00B11D8D">
        <w:rPr>
          <w:rFonts w:cs="Times New Roman"/>
          <w:szCs w:val="24"/>
        </w:rPr>
        <w:t xml:space="preserve"> expectations of the law in the</w:t>
      </w:r>
      <w:r w:rsidR="009A33CC">
        <w:rPr>
          <w:rFonts w:cs="Times New Roman"/>
          <w:szCs w:val="24"/>
        </w:rPr>
        <w:t>ir own</w:t>
      </w:r>
      <w:r w:rsidR="00B24FEB" w:rsidRPr="00B11D8D">
        <w:rPr>
          <w:rFonts w:cs="Times New Roman"/>
          <w:szCs w:val="24"/>
        </w:rPr>
        <w:t xml:space="preserve"> communities</w:t>
      </w:r>
      <w:r w:rsidR="007E499B" w:rsidRPr="00B11D8D">
        <w:rPr>
          <w:rFonts w:cs="Times New Roman"/>
          <w:szCs w:val="24"/>
        </w:rPr>
        <w:t xml:space="preserve">. </w:t>
      </w:r>
      <w:r w:rsidR="00E476F7">
        <w:rPr>
          <w:rFonts w:cs="Times New Roman"/>
          <w:szCs w:val="24"/>
        </w:rPr>
        <w:t xml:space="preserve"> </w:t>
      </w:r>
      <w:r w:rsidR="002508BB">
        <w:rPr>
          <w:rFonts w:cs="Times New Roman"/>
          <w:szCs w:val="24"/>
        </w:rPr>
        <w:t xml:space="preserve">It is true to the </w:t>
      </w:r>
      <w:r w:rsidR="002508BB">
        <w:rPr>
          <w:rFonts w:cs="Times New Roman"/>
          <w:i/>
          <w:szCs w:val="24"/>
        </w:rPr>
        <w:t>nomos.</w:t>
      </w:r>
      <w:r w:rsidR="002508BB">
        <w:rPr>
          <w:rFonts w:cs="Times New Roman"/>
          <w:szCs w:val="24"/>
        </w:rPr>
        <w:t xml:space="preserve"> </w:t>
      </w:r>
      <w:r w:rsidR="007E499B" w:rsidRPr="00B11D8D">
        <w:rPr>
          <w:rFonts w:cs="Times New Roman"/>
          <w:szCs w:val="24"/>
        </w:rPr>
        <w:t xml:space="preserve"> </w:t>
      </w:r>
      <w:r w:rsidR="002508BB">
        <w:rPr>
          <w:rFonts w:cs="Times New Roman"/>
          <w:szCs w:val="24"/>
        </w:rPr>
        <w:t>N</w:t>
      </w:r>
      <w:r w:rsidR="007E499B" w:rsidRPr="00B11D8D">
        <w:rPr>
          <w:rFonts w:cs="Times New Roman"/>
          <w:szCs w:val="24"/>
        </w:rPr>
        <w:t xml:space="preserve">ullification requires that twelve citizens </w:t>
      </w:r>
      <w:r w:rsidR="004911DE" w:rsidRPr="00B11D8D">
        <w:rPr>
          <w:rFonts w:cs="Times New Roman"/>
          <w:szCs w:val="24"/>
        </w:rPr>
        <w:t xml:space="preserve">– </w:t>
      </w:r>
      <w:r w:rsidR="007E499B" w:rsidRPr="00B11D8D">
        <w:rPr>
          <w:rFonts w:cs="Times New Roman"/>
          <w:szCs w:val="24"/>
        </w:rPr>
        <w:t xml:space="preserve">with no further qualifications than their </w:t>
      </w:r>
      <w:r w:rsidR="004911DE" w:rsidRPr="00B11D8D">
        <w:rPr>
          <w:rFonts w:cs="Times New Roman"/>
          <w:szCs w:val="24"/>
        </w:rPr>
        <w:t xml:space="preserve">inability </w:t>
      </w:r>
      <w:r w:rsidR="007E499B" w:rsidRPr="00B11D8D">
        <w:rPr>
          <w:rFonts w:cs="Times New Roman"/>
          <w:szCs w:val="24"/>
        </w:rPr>
        <w:t>to avoid jury duty</w:t>
      </w:r>
      <w:r w:rsidR="004911DE" w:rsidRPr="00B11D8D">
        <w:rPr>
          <w:rFonts w:cs="Times New Roman"/>
          <w:szCs w:val="24"/>
        </w:rPr>
        <w:t xml:space="preserve"> –</w:t>
      </w:r>
      <w:r w:rsidR="00DC6928" w:rsidRPr="00B11D8D">
        <w:rPr>
          <w:rFonts w:cs="Times New Roman"/>
          <w:szCs w:val="24"/>
        </w:rPr>
        <w:t xml:space="preserve"> </w:t>
      </w:r>
      <w:r w:rsidR="00B24FEB" w:rsidRPr="00B11D8D">
        <w:rPr>
          <w:rFonts w:cs="Times New Roman"/>
          <w:szCs w:val="24"/>
        </w:rPr>
        <w:t xml:space="preserve">come to </w:t>
      </w:r>
      <w:r w:rsidR="004911DE" w:rsidRPr="00B11D8D">
        <w:rPr>
          <w:rFonts w:cs="Times New Roman"/>
          <w:szCs w:val="24"/>
        </w:rPr>
        <w:t xml:space="preserve">a </w:t>
      </w:r>
      <w:r w:rsidR="00B24FEB" w:rsidRPr="00B11D8D">
        <w:rPr>
          <w:rFonts w:cs="Times New Roman"/>
          <w:szCs w:val="24"/>
        </w:rPr>
        <w:t xml:space="preserve">consensus </w:t>
      </w:r>
      <w:r w:rsidR="004911DE" w:rsidRPr="00B11D8D">
        <w:rPr>
          <w:rFonts w:cs="Times New Roman"/>
          <w:szCs w:val="24"/>
        </w:rPr>
        <w:t xml:space="preserve">about </w:t>
      </w:r>
      <w:r w:rsidR="00B24FEB" w:rsidRPr="00B11D8D">
        <w:rPr>
          <w:rFonts w:cs="Times New Roman"/>
          <w:szCs w:val="24"/>
        </w:rPr>
        <w:t xml:space="preserve">the law that </w:t>
      </w:r>
      <w:r w:rsidR="00847440" w:rsidRPr="00B11D8D">
        <w:rPr>
          <w:rFonts w:cs="Times New Roman"/>
          <w:szCs w:val="24"/>
        </w:rPr>
        <w:t xml:space="preserve">contradicts </w:t>
      </w:r>
      <w:r w:rsidR="004911DE" w:rsidRPr="00B11D8D">
        <w:rPr>
          <w:rFonts w:cs="Times New Roman"/>
          <w:szCs w:val="24"/>
        </w:rPr>
        <w:t xml:space="preserve">the one </w:t>
      </w:r>
      <w:r w:rsidR="00847440" w:rsidRPr="00B11D8D">
        <w:rPr>
          <w:rFonts w:cs="Times New Roman"/>
          <w:szCs w:val="24"/>
        </w:rPr>
        <w:t>promoted by formal government.  This suggests a depth of feeling regarding the state of the law that is both intransient and consistent among and across those individuals chosen as jurors on a particular case.</w:t>
      </w:r>
      <w:r>
        <w:rPr>
          <w:rStyle w:val="Appelnotedebasdep"/>
          <w:rFonts w:cs="Times New Roman"/>
          <w:szCs w:val="24"/>
        </w:rPr>
        <w:footnoteReference w:id="43"/>
      </w:r>
      <w:r w:rsidR="00847440" w:rsidRPr="00B11D8D">
        <w:rPr>
          <w:rFonts w:cs="Times New Roman"/>
          <w:szCs w:val="24"/>
        </w:rPr>
        <w:t xml:space="preserve">  In agreeing to nullify they are seeking to drive the law back towards themselves.  They create a law that is knowable to them in a tangible way by refusing to apply it to their fellow citizen.</w:t>
      </w:r>
    </w:p>
    <w:p w14:paraId="38DD4E5A" w14:textId="77777777" w:rsidR="00631F77" w:rsidRDefault="00A46C18" w:rsidP="007E499B">
      <w:pPr>
        <w:ind w:firstLine="720"/>
        <w:rPr>
          <w:rFonts w:cs="Times New Roman"/>
          <w:szCs w:val="24"/>
        </w:rPr>
      </w:pPr>
      <w:r>
        <w:rPr>
          <w:rFonts w:cs="Times New Roman"/>
          <w:szCs w:val="24"/>
        </w:rPr>
        <w:t xml:space="preserve">In this, nullification, while certainly limited by both its effect (a single verdict) and its participants (jurors on a single criminal case), answers some concerns about the possibility that it engenders or encourages random </w:t>
      </w:r>
      <w:r w:rsidR="009721BE">
        <w:rPr>
          <w:rFonts w:cs="Times New Roman"/>
          <w:szCs w:val="24"/>
        </w:rPr>
        <w:t xml:space="preserve">or improper </w:t>
      </w:r>
      <w:r>
        <w:rPr>
          <w:rFonts w:cs="Times New Roman"/>
          <w:szCs w:val="24"/>
        </w:rPr>
        <w:t xml:space="preserve">verdicts.  </w:t>
      </w:r>
      <w:r w:rsidR="002A5219">
        <w:rPr>
          <w:rFonts w:cs="Times New Roman"/>
          <w:szCs w:val="24"/>
        </w:rPr>
        <w:t xml:space="preserve">But further consideration of the process of deliberation also suggests that random or improper verdicts are unlikely, even if jurors are permitted to judge questions of law.  </w:t>
      </w:r>
      <w:r w:rsidR="009721BE">
        <w:rPr>
          <w:rFonts w:cs="Times New Roman"/>
          <w:szCs w:val="24"/>
        </w:rPr>
        <w:t>To the extent that we trust majorities to make democratic decisions in other context</w:t>
      </w:r>
      <w:r w:rsidR="002A5219">
        <w:rPr>
          <w:rFonts w:cs="Times New Roman"/>
          <w:szCs w:val="24"/>
        </w:rPr>
        <w:t xml:space="preserve"> (such as the </w:t>
      </w:r>
      <w:r w:rsidR="002A5219">
        <w:rPr>
          <w:rFonts w:cs="Times New Roman"/>
          <w:szCs w:val="24"/>
        </w:rPr>
        <w:lastRenderedPageBreak/>
        <w:t>election of representatives)</w:t>
      </w:r>
      <w:r w:rsidR="009721BE">
        <w:rPr>
          <w:rFonts w:cs="Times New Roman"/>
          <w:szCs w:val="24"/>
        </w:rPr>
        <w:t>, we profess some faith that a “correct” decision can be reached by the majority so long as each participating member is making a decision that is better than a random decision.</w:t>
      </w:r>
      <w:r w:rsidR="00C422AB">
        <w:rPr>
          <w:rStyle w:val="Appelnotedebasdep"/>
          <w:rFonts w:cs="Times New Roman"/>
          <w:szCs w:val="24"/>
        </w:rPr>
        <w:footnoteReference w:id="44"/>
      </w:r>
      <w:r w:rsidR="009721BE">
        <w:rPr>
          <w:rFonts w:cs="Times New Roman"/>
          <w:szCs w:val="24"/>
        </w:rPr>
        <w:t xml:space="preserve">  </w:t>
      </w:r>
      <w:r w:rsidR="00631F77">
        <w:rPr>
          <w:rFonts w:cs="Times New Roman"/>
          <w:szCs w:val="24"/>
        </w:rPr>
        <w:t>While it is always possible that a juror, like a member of any electorate, will vote randomly, the hope is that the process of jury selection will minimize that possibility.  That instead, jurors will cast their verdict votes based on their understanding of the case before them and so are as likely as any majority to arrive at a “correct” and non-random decision.</w:t>
      </w:r>
    </w:p>
    <w:p w14:paraId="6588D665" w14:textId="5CDD1DF1" w:rsidR="00C422AB" w:rsidRDefault="00631F77" w:rsidP="00944E1B">
      <w:pPr>
        <w:ind w:firstLine="720"/>
        <w:rPr>
          <w:rFonts w:cs="Times New Roman"/>
          <w:szCs w:val="24"/>
        </w:rPr>
      </w:pPr>
      <w:r>
        <w:rPr>
          <w:rFonts w:cs="Times New Roman"/>
          <w:szCs w:val="24"/>
        </w:rPr>
        <w:t>But a</w:t>
      </w:r>
      <w:r w:rsidR="009721BE">
        <w:rPr>
          <w:rFonts w:cs="Times New Roman"/>
          <w:szCs w:val="24"/>
        </w:rPr>
        <w:t>nalysis of the jury decision making process is admittedly tricky in ways that other democratic proce</w:t>
      </w:r>
      <w:r>
        <w:rPr>
          <w:rFonts w:cs="Times New Roman"/>
          <w:szCs w:val="24"/>
        </w:rPr>
        <w:t xml:space="preserve">ss may not be. </w:t>
      </w:r>
      <w:r w:rsidR="00944E1B">
        <w:rPr>
          <w:rFonts w:cs="Times New Roman"/>
          <w:szCs w:val="24"/>
        </w:rPr>
        <w:t xml:space="preserve"> The jury may be a counter intuitive tool of open governance.</w:t>
      </w:r>
      <w:r w:rsidR="00F31F45">
        <w:rPr>
          <w:rFonts w:cs="Times New Roman"/>
          <w:szCs w:val="24"/>
        </w:rPr>
        <w:t xml:space="preserve"> To the extent that jury deliberation is both veiled in secrecy </w:t>
      </w:r>
      <w:r w:rsidR="001A055C">
        <w:rPr>
          <w:rFonts w:cs="Times New Roman"/>
          <w:szCs w:val="24"/>
        </w:rPr>
        <w:t xml:space="preserve">vis a vis the outside world </w:t>
      </w:r>
      <w:r w:rsidR="00F31F45">
        <w:rPr>
          <w:rFonts w:cs="Times New Roman"/>
          <w:szCs w:val="24"/>
        </w:rPr>
        <w:t xml:space="preserve">and is available only to the chosen few, the mechanism of jury selection becomes critical.  A failure to include a variety of community perspectives on a jury </w:t>
      </w:r>
      <w:r w:rsidR="001A055C">
        <w:rPr>
          <w:rFonts w:cs="Times New Roman"/>
          <w:szCs w:val="24"/>
        </w:rPr>
        <w:t xml:space="preserve">is not only to risk that a verdict that </w:t>
      </w:r>
      <w:r w:rsidR="00F52173">
        <w:rPr>
          <w:rFonts w:cs="Times New Roman"/>
          <w:szCs w:val="24"/>
        </w:rPr>
        <w:t>fails</w:t>
      </w:r>
      <w:r w:rsidR="001A055C">
        <w:rPr>
          <w:rFonts w:cs="Times New Roman"/>
          <w:szCs w:val="24"/>
        </w:rPr>
        <w:t xml:space="preserve"> to reflect communal values, but </w:t>
      </w:r>
      <w:r w:rsidR="00F31F45">
        <w:rPr>
          <w:rFonts w:cs="Times New Roman"/>
          <w:szCs w:val="24"/>
        </w:rPr>
        <w:t xml:space="preserve">if </w:t>
      </w:r>
      <w:r w:rsidR="001A055C">
        <w:rPr>
          <w:rFonts w:cs="Times New Roman"/>
          <w:szCs w:val="24"/>
        </w:rPr>
        <w:t>the verdict is a nullified one, it may undermine</w:t>
      </w:r>
      <w:r w:rsidR="00F31F45">
        <w:rPr>
          <w:rFonts w:cs="Times New Roman"/>
          <w:szCs w:val="24"/>
        </w:rPr>
        <w:t xml:space="preserve"> the stability of the law and reinforces oppressive regimes.  Evidence of continued exclusion of particular classes of individuals and perspectives must be addressed if the promise of nullification as a means of infusing the law with communal values is to be realized. </w:t>
      </w:r>
    </w:p>
    <w:p w14:paraId="4D95D295" w14:textId="7120924F" w:rsidR="00D955E5" w:rsidRDefault="003143DC" w:rsidP="00EB2CB7">
      <w:pPr>
        <w:ind w:firstLine="720"/>
        <w:rPr>
          <w:rFonts w:cs="Times New Roman"/>
          <w:szCs w:val="24"/>
        </w:rPr>
      </w:pPr>
      <w:r>
        <w:rPr>
          <w:rFonts w:cs="Times New Roman"/>
          <w:szCs w:val="24"/>
        </w:rPr>
        <w:t xml:space="preserve">As the Court, and all of us, </w:t>
      </w:r>
      <w:r w:rsidR="00F52173">
        <w:rPr>
          <w:rFonts w:cs="Times New Roman"/>
          <w:szCs w:val="24"/>
        </w:rPr>
        <w:t>struggles</w:t>
      </w:r>
      <w:r>
        <w:rPr>
          <w:rFonts w:cs="Times New Roman"/>
          <w:szCs w:val="24"/>
        </w:rPr>
        <w:t xml:space="preserve"> to define the role of the citizen in our modern </w:t>
      </w:r>
      <w:r w:rsidR="00944E1B">
        <w:rPr>
          <w:rFonts w:cs="Times New Roman"/>
          <w:szCs w:val="24"/>
        </w:rPr>
        <w:t>government</w:t>
      </w:r>
      <w:r>
        <w:rPr>
          <w:rFonts w:cs="Times New Roman"/>
          <w:szCs w:val="24"/>
        </w:rPr>
        <w:t>, some salience emerges.  We, as citizens, are a powerful source of meaning.  Every day we construct a law that flows from the bottom upward, pushing against an increasingly distant and elite government.</w:t>
      </w:r>
      <w:r w:rsidR="00D955E5">
        <w:rPr>
          <w:rStyle w:val="Appelnotedebasdep"/>
          <w:rFonts w:cs="Times New Roman"/>
          <w:szCs w:val="24"/>
        </w:rPr>
        <w:footnoteReference w:id="45"/>
      </w:r>
      <w:r>
        <w:rPr>
          <w:rFonts w:cs="Times New Roman"/>
          <w:szCs w:val="24"/>
        </w:rPr>
        <w:t xml:space="preserve">  But we are also a dangerous force when our own concept of justice is grounded in prejudice or “cruel, cruel, ignorance.”</w:t>
      </w:r>
      <w:r>
        <w:rPr>
          <w:rStyle w:val="Appelnotedebasdep"/>
          <w:rFonts w:cs="Times New Roman"/>
          <w:szCs w:val="24"/>
        </w:rPr>
        <w:footnoteReference w:id="46"/>
      </w:r>
      <w:r>
        <w:rPr>
          <w:rFonts w:cs="Times New Roman"/>
          <w:szCs w:val="24"/>
        </w:rPr>
        <w:t xml:space="preserve">  </w:t>
      </w:r>
    </w:p>
    <w:p w14:paraId="07BC7B91" w14:textId="77777777" w:rsidR="00EB2CB7" w:rsidRDefault="00CB06E8" w:rsidP="00847188">
      <w:pPr>
        <w:pStyle w:val="Titre1"/>
      </w:pPr>
      <w:bookmarkStart w:id="6" w:name="_Toc364970548"/>
      <w:r w:rsidRPr="00CB06E8">
        <w:t>Conclusion</w:t>
      </w:r>
      <w:bookmarkEnd w:id="6"/>
    </w:p>
    <w:p w14:paraId="5E9778ED" w14:textId="25FF48A4" w:rsidR="001D28D7" w:rsidRDefault="001D28D7" w:rsidP="001D28D7">
      <w:r>
        <w:tab/>
        <w:t xml:space="preserve">In any government there are different corridors of power.  Some are occupied by formal decision makers – elected or appointed – who construct, enforce, and interpret law in an “official” capacity; others by less formal power brokers.  Lately in the United States </w:t>
      </w:r>
      <w:r>
        <w:lastRenderedPageBreak/>
        <w:t>and elsewhere, there has been much debate about the continued failures of official actors.  In the United States infighting among formal actors has seemed to descend into an inevitable and dizzying cacophony of partisanship and allegiance to specialized interest.  In the wake of this dysfunction, citizen movements have decried the ever-increasing distance between the formalized space of government and the “people”.  Citizens have taken to the streets to protest and to “occupy” more formal corridors of power; private citizen actors have spirited secret government data-collection protocols to online sources; they have landed helicopters on the capitol lawn – all in the name of reclaiming the government and more formal chambers of power.  To speak of open government is therefore to speak of a reclamation of the formal spaces of governance.</w:t>
      </w:r>
    </w:p>
    <w:p w14:paraId="7406FB67" w14:textId="77777777" w:rsidR="001D28D7" w:rsidRDefault="001D28D7" w:rsidP="001D28D7">
      <w:pPr>
        <w:ind w:firstLine="720"/>
      </w:pPr>
      <w:r>
        <w:t>But in this movement to open government, the quieter corridors of power have often been overlooked.  These other spaces of governance are occupied by the citizens themselves, in venues where their lives bump against formal law and lawmaking.  In these small empires, the citizen participates in governance and the construction of law itself.  From voting to boycott to jury nullification, citizens can and do claim spaces in which they can assert their views unfiltered (or relatively unfiltered) by larger power structures.  One of the most powerful of these small realms is the criminal jury box.</w:t>
      </w:r>
    </w:p>
    <w:p w14:paraId="4AE7A06B" w14:textId="77777777" w:rsidR="001D28D7" w:rsidRDefault="001D28D7" w:rsidP="001D28D7">
      <w:pPr>
        <w:ind w:firstLine="720"/>
      </w:pPr>
      <w:r>
        <w:t>Citizen jurors in criminal cases are in a unique position to assess the legitimacy of the government’s exercise of power at the moment its power directly touches a fellow citizen – the criminal defendant.  To recognize this reality is to recognize that jurors serve a greater role than mere fact finders – they serve as legal interpreters, instilling a community-based interpretation of the law in their verdict.  Whether determining an appropriate charge as a grand juror or guilt as a petit juror, jurors push for an expansion of governance that encompasses not only formal spheres of power but also less formal ones in the form of direct citizen governance.  As such, juries serve as a vital, and oft overlooked, mechanism of open government – forcing a transparency and power-sharing between formal and informal constructs and collaboration among the citizens serving as jurors to reach a verdict.</w:t>
      </w:r>
    </w:p>
    <w:p w14:paraId="33020868" w14:textId="77777777" w:rsidR="001D28D7" w:rsidRDefault="001D28D7" w:rsidP="001D28D7">
      <w:r>
        <w:tab/>
        <w:t xml:space="preserve">This system is not without its failings: the obscurity of jury selection and deliberation; the controlled universe of information shared with the jury as evidence, argument, and jury instruction; the secrecy shrouding the basis of the subsequent verdict.  All of these might counsel against characterizing the jury as a mechanism of open governance (and might explain why no one else is talking about it in the context of the open government conversation).  But this hesitation takes a myopic view of the jury’s role and composition.  It overlooks and undervalues the fundamental nature of the jury as a body of citizen actors weighing power and the meaning of the government’s power.  </w:t>
      </w:r>
      <w:r>
        <w:lastRenderedPageBreak/>
        <w:t>Whatever shortcomings it possesses counsel toward an alteration of the process surrounding jury construction and deliberation, not the rejection of it as a body of open governance.</w:t>
      </w:r>
    </w:p>
    <w:p w14:paraId="700947F5" w14:textId="77777777" w:rsidR="001D28D7" w:rsidRDefault="001D28D7" w:rsidP="001D28D7">
      <w:pPr>
        <w:ind w:firstLine="720"/>
      </w:pPr>
      <w:r>
        <w:t>As the open government movement pushes for participation and collaboration in the grander spaces of government, the informal realms of governance may offer an equally significant opportunity to achieve such goals.  This paper explores the role of the jury as a citizen decision maker in the open government movement, arguing that in juries may lie one of the greatest opportunities for meaningful citizen participation in governance.</w:t>
      </w:r>
    </w:p>
    <w:p w14:paraId="04ADB11D" w14:textId="0A8C6648" w:rsidR="00A009DD" w:rsidRPr="001D28D7" w:rsidRDefault="00A009DD" w:rsidP="001D28D7"/>
    <w:sectPr w:rsidR="00A009DD" w:rsidRPr="001D28D7" w:rsidSect="001255D5">
      <w:headerReference w:type="default" r:id="rId8"/>
      <w:footerReference w:type="default" r:id="rId9"/>
      <w:footerReference w:type="first" r:id="rId10"/>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46057" w14:textId="77777777" w:rsidR="005B32AB" w:rsidRDefault="005B32AB" w:rsidP="008F6A62">
      <w:pPr>
        <w:spacing w:after="0" w:line="240" w:lineRule="auto"/>
      </w:pPr>
      <w:r>
        <w:separator/>
      </w:r>
    </w:p>
    <w:p w14:paraId="3370A493" w14:textId="77777777" w:rsidR="005B32AB" w:rsidRDefault="005B32AB"/>
  </w:endnote>
  <w:endnote w:type="continuationSeparator" w:id="0">
    <w:p w14:paraId="0C64C06F" w14:textId="77777777" w:rsidR="005B32AB" w:rsidRDefault="005B32AB" w:rsidP="008F6A62">
      <w:pPr>
        <w:spacing w:after="0" w:line="240" w:lineRule="auto"/>
      </w:pPr>
      <w:r>
        <w:continuationSeparator/>
      </w:r>
    </w:p>
    <w:p w14:paraId="1037094A" w14:textId="77777777" w:rsidR="005B32AB" w:rsidRDefault="005B3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6E70" w14:textId="77777777" w:rsidR="00D8145D" w:rsidRPr="00C64EF6" w:rsidRDefault="00D8145D" w:rsidP="00C64EF6">
    <w:pPr>
      <w:pStyle w:val="Pieddepage"/>
      <w:tabs>
        <w:tab w:val="clear" w:pos="4680"/>
        <w:tab w:val="clear" w:pos="9360"/>
        <w:tab w:val="center" w:pos="4320"/>
        <w:tab w:val="left" w:pos="6720"/>
        <w:tab w:val="right" w:pos="8640"/>
      </w:tabs>
      <w:rPr>
        <w:sz w:val="22"/>
      </w:rPr>
    </w:pPr>
    <w:r w:rsidRPr="00C64EF6">
      <w:rPr>
        <w:sz w:val="22"/>
      </w:rPr>
      <w:tab/>
    </w:r>
    <w:r w:rsidRPr="00C64EF6">
      <w:rPr>
        <w:sz w:val="22"/>
      </w:rPr>
      <w:tab/>
    </w:r>
    <w:r w:rsidRPr="00C64EF6">
      <w:rPr>
        <w:sz w:val="22"/>
      </w:rPr>
      <w:tab/>
    </w:r>
    <w:r w:rsidRPr="00C64EF6">
      <w:rPr>
        <w:sz w:val="22"/>
      </w:rPr>
      <w:fldChar w:fldCharType="begin"/>
    </w:r>
    <w:r w:rsidRPr="00C64EF6">
      <w:rPr>
        <w:sz w:val="22"/>
      </w:rPr>
      <w:instrText xml:space="preserve"> PAGE   \* MERGEFORMAT </w:instrText>
    </w:r>
    <w:r w:rsidRPr="00C64EF6">
      <w:rPr>
        <w:sz w:val="22"/>
      </w:rPr>
      <w:fldChar w:fldCharType="separate"/>
    </w:r>
    <w:r w:rsidR="003B748A">
      <w:rPr>
        <w:noProof/>
        <w:sz w:val="22"/>
      </w:rPr>
      <w:t>4</w:t>
    </w:r>
    <w:r w:rsidRPr="00C64EF6">
      <w:rPr>
        <w:sz w:val="22"/>
      </w:rPr>
      <w:fldChar w:fldCharType="end"/>
    </w:r>
  </w:p>
  <w:p w14:paraId="79A6AF9A" w14:textId="77777777" w:rsidR="00D8145D" w:rsidRDefault="00D8145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4023" w14:textId="77777777" w:rsidR="00D8145D" w:rsidRPr="00C64EF6" w:rsidRDefault="00D8145D" w:rsidP="00C64EF6">
    <w:pPr>
      <w:pStyle w:val="Pieddepage"/>
      <w:tabs>
        <w:tab w:val="clear" w:pos="4680"/>
        <w:tab w:val="clear" w:pos="9360"/>
        <w:tab w:val="center" w:pos="4320"/>
        <w:tab w:val="right" w:pos="8640"/>
      </w:tabs>
      <w:rPr>
        <w:sz w:val="22"/>
      </w:rPr>
    </w:pPr>
    <w:r>
      <w:tab/>
    </w:r>
    <w:r>
      <w:tab/>
    </w:r>
    <w:r w:rsidRPr="00C64EF6">
      <w:rPr>
        <w:sz w:val="22"/>
      </w:rPr>
      <w:fldChar w:fldCharType="begin"/>
    </w:r>
    <w:r w:rsidRPr="00C64EF6">
      <w:rPr>
        <w:sz w:val="22"/>
      </w:rPr>
      <w:instrText xml:space="preserve"> PAGE   \* MERGEFORMAT </w:instrText>
    </w:r>
    <w:r w:rsidRPr="00C64EF6">
      <w:rPr>
        <w:sz w:val="22"/>
      </w:rPr>
      <w:fldChar w:fldCharType="separate"/>
    </w:r>
    <w:r w:rsidR="003B748A">
      <w:rPr>
        <w:noProof/>
        <w:sz w:val="22"/>
      </w:rPr>
      <w:t>1</w:t>
    </w:r>
    <w:r w:rsidRPr="00C64EF6">
      <w:rPr>
        <w:sz w:val="22"/>
      </w:rPr>
      <w:fldChar w:fldCharType="end"/>
    </w:r>
  </w:p>
  <w:p w14:paraId="4EF67673" w14:textId="77777777" w:rsidR="00D8145D" w:rsidRDefault="00D814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22149" w14:textId="77777777" w:rsidR="005B32AB" w:rsidRDefault="005B32AB" w:rsidP="008F6A62">
      <w:pPr>
        <w:spacing w:after="0" w:line="240" w:lineRule="auto"/>
      </w:pPr>
      <w:r>
        <w:separator/>
      </w:r>
    </w:p>
    <w:p w14:paraId="4713D78B" w14:textId="77777777" w:rsidR="005B32AB" w:rsidRDefault="005B32AB"/>
  </w:footnote>
  <w:footnote w:type="continuationSeparator" w:id="0">
    <w:p w14:paraId="539B385C" w14:textId="77777777" w:rsidR="005B32AB" w:rsidRDefault="005B32AB" w:rsidP="008F6A62">
      <w:pPr>
        <w:spacing w:after="0" w:line="240" w:lineRule="auto"/>
      </w:pPr>
      <w:r>
        <w:continuationSeparator/>
      </w:r>
    </w:p>
    <w:p w14:paraId="04CE1617" w14:textId="77777777" w:rsidR="005B32AB" w:rsidRDefault="005B32AB"/>
  </w:footnote>
  <w:footnote w:id="1">
    <w:p w14:paraId="7BB3BB0E" w14:textId="77777777" w:rsidR="00D8145D" w:rsidRPr="00920A2F" w:rsidRDefault="00D8145D">
      <w:pPr>
        <w:pStyle w:val="Notedebasdepage"/>
        <w:rPr>
          <w:szCs w:val="22"/>
        </w:rPr>
      </w:pPr>
      <w:r w:rsidRPr="00920A2F">
        <w:rPr>
          <w:rStyle w:val="Appelnotedebasdep"/>
          <w:szCs w:val="22"/>
        </w:rPr>
        <w:t>*</w:t>
      </w:r>
      <w:r w:rsidRPr="00920A2F">
        <w:rPr>
          <w:szCs w:val="22"/>
        </w:rPr>
        <w:t xml:space="preserve"> </w:t>
      </w:r>
      <w:r w:rsidRPr="00920A2F">
        <w:rPr>
          <w:szCs w:val="22"/>
        </w:rPr>
        <w:tab/>
        <w:t>Associate Professor of Law, Seton Hall University School of Law.</w:t>
      </w:r>
    </w:p>
  </w:footnote>
  <w:footnote w:id="2">
    <w:p w14:paraId="391C0957" w14:textId="77777777" w:rsidR="00D8145D" w:rsidRPr="00920A2F" w:rsidRDefault="00D8145D">
      <w:pPr>
        <w:pStyle w:val="Notedebasdepage"/>
        <w:rPr>
          <w:szCs w:val="22"/>
        </w:rPr>
      </w:pPr>
      <w:r w:rsidRPr="00920A2F">
        <w:rPr>
          <w:rStyle w:val="Appelnotedebasdep"/>
          <w:szCs w:val="22"/>
        </w:rPr>
        <w:footnoteRef/>
      </w:r>
      <w:r w:rsidRPr="00920A2F">
        <w:rPr>
          <w:szCs w:val="22"/>
        </w:rPr>
        <w:t xml:space="preserve"> </w:t>
      </w:r>
      <w:r w:rsidRPr="00920A2F">
        <w:rPr>
          <w:rFonts w:cs="Times New Roman"/>
          <w:i/>
          <w:szCs w:val="22"/>
        </w:rPr>
        <w:t xml:space="preserve">See </w:t>
      </w:r>
      <w:r w:rsidRPr="00920A2F">
        <w:rPr>
          <w:rFonts w:cs="Times New Roman"/>
          <w:smallCaps/>
          <w:szCs w:val="22"/>
        </w:rPr>
        <w:t>Richard A. Posner, Law and Literature 163 (</w:t>
      </w:r>
      <w:r>
        <w:rPr>
          <w:rFonts w:cs="Times New Roman"/>
          <w:szCs w:val="22"/>
        </w:rPr>
        <w:t xml:space="preserve">3d </w:t>
      </w:r>
      <w:r w:rsidRPr="00920A2F">
        <w:rPr>
          <w:rFonts w:cs="Times New Roman"/>
          <w:szCs w:val="22"/>
        </w:rPr>
        <w:t>ed. 2009) (describing the importance of incorporating interpretation into</w:t>
      </w:r>
      <w:r>
        <w:rPr>
          <w:rFonts w:cs="Times New Roman"/>
          <w:szCs w:val="22"/>
        </w:rPr>
        <w:t xml:space="preserve"> the rule of law rendering “law </w:t>
      </w:r>
      <w:r w:rsidRPr="00920A2F">
        <w:rPr>
          <w:rFonts w:cs="Times New Roman"/>
          <w:szCs w:val="22"/>
        </w:rPr>
        <w:t>…</w:t>
      </w:r>
      <w:r>
        <w:rPr>
          <w:rFonts w:cs="Times New Roman"/>
          <w:szCs w:val="22"/>
        </w:rPr>
        <w:t xml:space="preserve"> </w:t>
      </w:r>
      <w:r w:rsidRPr="00920A2F">
        <w:rPr>
          <w:rFonts w:cs="Times New Roman"/>
          <w:szCs w:val="22"/>
        </w:rPr>
        <w:t xml:space="preserve">the art of governance by rules, rather than an automated machinery of enforcement”); </w:t>
      </w:r>
      <w:r w:rsidRPr="00920A2F">
        <w:rPr>
          <w:rFonts w:cs="Times New Roman"/>
          <w:smallCaps/>
          <w:szCs w:val="22"/>
        </w:rPr>
        <w:t>Ronald Dworkin</w:t>
      </w:r>
      <w:r w:rsidRPr="00920A2F">
        <w:rPr>
          <w:rFonts w:cs="Times New Roman"/>
          <w:szCs w:val="22"/>
        </w:rPr>
        <w:t xml:space="preserve">, </w:t>
      </w:r>
      <w:r w:rsidRPr="00920A2F">
        <w:rPr>
          <w:rFonts w:cs="Times New Roman"/>
          <w:smallCaps/>
          <w:szCs w:val="22"/>
        </w:rPr>
        <w:t>Law’s Empire</w:t>
      </w:r>
      <w:r w:rsidRPr="00920A2F">
        <w:rPr>
          <w:rFonts w:cs="Times New Roman"/>
          <w:szCs w:val="22"/>
        </w:rPr>
        <w:t xml:space="preserve"> 166 (1986) (arguing that in order for a State or its laws to maintain integrity, they must engage in a process of interpretation premised on consistent and agreed upon principles); </w:t>
      </w:r>
      <w:r w:rsidRPr="00920A2F">
        <w:rPr>
          <w:szCs w:val="22"/>
        </w:rPr>
        <w:t xml:space="preserve">H.L.A. </w:t>
      </w:r>
      <w:r w:rsidRPr="00920A2F">
        <w:rPr>
          <w:smallCaps/>
          <w:szCs w:val="22"/>
        </w:rPr>
        <w:t>Hart, The Concept o f Law 125 (1961) (</w:t>
      </w:r>
      <w:r w:rsidRPr="00920A2F">
        <w:rPr>
          <w:szCs w:val="22"/>
        </w:rPr>
        <w:t xml:space="preserve">describing law as a process of creating and then interpretation in order to achieve acceptance); Cass Sunstein, </w:t>
      </w:r>
      <w:r w:rsidRPr="00B2775C">
        <w:rPr>
          <w:i/>
          <w:szCs w:val="22"/>
        </w:rPr>
        <w:t>P</w:t>
      </w:r>
      <w:r w:rsidRPr="00920A2F">
        <w:rPr>
          <w:i/>
          <w:szCs w:val="22"/>
        </w:rPr>
        <w:t>roblems with Rules</w:t>
      </w:r>
      <w:r w:rsidRPr="00920A2F">
        <w:rPr>
          <w:szCs w:val="22"/>
        </w:rPr>
        <w:t xml:space="preserve">, 83 </w:t>
      </w:r>
      <w:r w:rsidRPr="00920A2F">
        <w:rPr>
          <w:smallCaps/>
          <w:szCs w:val="22"/>
        </w:rPr>
        <w:t xml:space="preserve">Cal. L. Rev. </w:t>
      </w:r>
      <w:r w:rsidRPr="00920A2F">
        <w:rPr>
          <w:szCs w:val="22"/>
        </w:rPr>
        <w:t xml:space="preserve">953, 959-68 (1995) (arguing that law draws meaning not only from construction but interpretation). </w:t>
      </w:r>
    </w:p>
  </w:footnote>
  <w:footnote w:id="3">
    <w:p w14:paraId="34BFF1C0" w14:textId="77777777" w:rsidR="00D8145D" w:rsidRPr="00920A2F" w:rsidRDefault="00D8145D" w:rsidP="00740149">
      <w:pPr>
        <w:pStyle w:val="Notedebasdepage"/>
        <w:rPr>
          <w:szCs w:val="22"/>
        </w:rPr>
      </w:pPr>
      <w:r w:rsidRPr="00920A2F">
        <w:rPr>
          <w:rStyle w:val="Appelnotedebasdep"/>
          <w:szCs w:val="22"/>
        </w:rPr>
        <w:footnoteRef/>
      </w:r>
      <w:r>
        <w:rPr>
          <w:szCs w:val="22"/>
        </w:rPr>
        <w:t xml:space="preserve"> </w:t>
      </w:r>
      <w:r w:rsidRPr="00920A2F">
        <w:rPr>
          <w:szCs w:val="22"/>
        </w:rPr>
        <w:t xml:space="preserve">Sunstein, </w:t>
      </w:r>
      <w:r>
        <w:rPr>
          <w:i/>
          <w:szCs w:val="22"/>
        </w:rPr>
        <w:t xml:space="preserve">supra </w:t>
      </w:r>
      <w:r>
        <w:rPr>
          <w:szCs w:val="22"/>
        </w:rPr>
        <w:t xml:space="preserve">note </w:t>
      </w:r>
      <w:r>
        <w:rPr>
          <w:szCs w:val="22"/>
        </w:rPr>
        <w:fldChar w:fldCharType="begin"/>
      </w:r>
      <w:r>
        <w:rPr>
          <w:szCs w:val="22"/>
        </w:rPr>
        <w:instrText xml:space="preserve"> NOTEREF _Ref349381390 \h </w:instrText>
      </w:r>
      <w:r>
        <w:rPr>
          <w:szCs w:val="22"/>
        </w:rPr>
      </w:r>
      <w:r>
        <w:rPr>
          <w:szCs w:val="22"/>
        </w:rPr>
        <w:fldChar w:fldCharType="separate"/>
      </w:r>
      <w:r>
        <w:rPr>
          <w:szCs w:val="22"/>
        </w:rPr>
        <w:t>7</w:t>
      </w:r>
      <w:r>
        <w:rPr>
          <w:szCs w:val="22"/>
        </w:rPr>
        <w:fldChar w:fldCharType="end"/>
      </w:r>
      <w:r>
        <w:rPr>
          <w:szCs w:val="22"/>
        </w:rPr>
        <w:t>, at</w:t>
      </w:r>
      <w:r w:rsidRPr="00920A2F">
        <w:rPr>
          <w:szCs w:val="22"/>
        </w:rPr>
        <w:t xml:space="preserve"> 959-68 (arguing that the </w:t>
      </w:r>
      <w:r>
        <w:rPr>
          <w:szCs w:val="22"/>
        </w:rPr>
        <w:t>rule of law</w:t>
      </w:r>
      <w:r w:rsidRPr="00920A2F">
        <w:rPr>
          <w:szCs w:val="22"/>
        </w:rPr>
        <w:t xml:space="preserve"> must be animated by many sources and cannot rely on mechanical application in the hopes of achieving a “just” result).</w:t>
      </w:r>
    </w:p>
  </w:footnote>
  <w:footnote w:id="4">
    <w:p w14:paraId="42AA21E0" w14:textId="77777777" w:rsidR="00D8145D" w:rsidRPr="00920A2F" w:rsidRDefault="00D8145D" w:rsidP="00740149">
      <w:pPr>
        <w:pStyle w:val="Notedebasdepage"/>
        <w:rPr>
          <w:szCs w:val="22"/>
        </w:rPr>
      </w:pPr>
      <w:r w:rsidRPr="00920A2F">
        <w:rPr>
          <w:rStyle w:val="Appelnotedebasdep"/>
          <w:szCs w:val="22"/>
        </w:rPr>
        <w:footnoteRef/>
      </w:r>
      <w:r w:rsidRPr="00920A2F">
        <w:rPr>
          <w:szCs w:val="22"/>
        </w:rPr>
        <w:t xml:space="preserve"> As Dworkin aptly noted, at the end of the day, the </w:t>
      </w:r>
      <w:r>
        <w:rPr>
          <w:szCs w:val="22"/>
        </w:rPr>
        <w:t>rule of law</w:t>
      </w:r>
      <w:r w:rsidRPr="00920A2F">
        <w:rPr>
          <w:szCs w:val="22"/>
        </w:rPr>
        <w:t xml:space="preserve"> must be a functional ideal.  </w:t>
      </w:r>
      <w:r w:rsidRPr="008C4F5C">
        <w:rPr>
          <w:smallCaps/>
          <w:szCs w:val="22"/>
        </w:rPr>
        <w:t>Dworkin</w:t>
      </w:r>
      <w:r w:rsidRPr="00920A2F">
        <w:rPr>
          <w:szCs w:val="22"/>
        </w:rPr>
        <w:t xml:space="preserve">, </w:t>
      </w:r>
      <w:r w:rsidRPr="00920A2F">
        <w:rPr>
          <w:i/>
          <w:szCs w:val="22"/>
        </w:rPr>
        <w:t xml:space="preserve">supra </w:t>
      </w:r>
      <w:r w:rsidRPr="00920A2F">
        <w:rPr>
          <w:szCs w:val="22"/>
        </w:rPr>
        <w:t xml:space="preserve">note </w:t>
      </w:r>
      <w:r>
        <w:fldChar w:fldCharType="begin"/>
      </w:r>
      <w:r>
        <w:rPr>
          <w:szCs w:val="22"/>
        </w:rPr>
        <w:instrText xml:space="preserve"> NOTEREF _Ref349381390 \h </w:instrText>
      </w:r>
      <w:r>
        <w:fldChar w:fldCharType="separate"/>
      </w:r>
      <w:r>
        <w:rPr>
          <w:szCs w:val="22"/>
        </w:rPr>
        <w:t>7</w:t>
      </w:r>
      <w:r>
        <w:fldChar w:fldCharType="end"/>
      </w:r>
      <w:r w:rsidRPr="00920A2F">
        <w:rPr>
          <w:szCs w:val="22"/>
        </w:rPr>
        <w:t>, at 190.</w:t>
      </w:r>
    </w:p>
  </w:footnote>
  <w:footnote w:id="5">
    <w:p w14:paraId="13E26106" w14:textId="77777777" w:rsidR="00D8145D" w:rsidRPr="00920A2F" w:rsidRDefault="00D8145D" w:rsidP="00740149">
      <w:pPr>
        <w:pStyle w:val="Notedebasdepage"/>
        <w:rPr>
          <w:szCs w:val="22"/>
        </w:rPr>
      </w:pPr>
      <w:r w:rsidRPr="00920A2F">
        <w:rPr>
          <w:rStyle w:val="Appelnotedebasdep"/>
          <w:szCs w:val="22"/>
        </w:rPr>
        <w:footnoteRef/>
      </w:r>
      <w:r w:rsidRPr="00920A2F">
        <w:rPr>
          <w:szCs w:val="22"/>
        </w:rPr>
        <w:t xml:space="preserve"> Eskridge </w:t>
      </w:r>
      <w:r>
        <w:rPr>
          <w:szCs w:val="22"/>
        </w:rPr>
        <w:t xml:space="preserve">&amp; </w:t>
      </w:r>
      <w:r w:rsidRPr="00920A2F">
        <w:rPr>
          <w:szCs w:val="22"/>
        </w:rPr>
        <w:t xml:space="preserve">Ferejohn, </w:t>
      </w:r>
      <w:r w:rsidRPr="00920A2F">
        <w:rPr>
          <w:i/>
          <w:szCs w:val="22"/>
        </w:rPr>
        <w:t>supra</w:t>
      </w:r>
      <w:r w:rsidRPr="00920A2F">
        <w:rPr>
          <w:szCs w:val="22"/>
        </w:rPr>
        <w:t xml:space="preserve"> note </w:t>
      </w:r>
      <w:r>
        <w:fldChar w:fldCharType="begin"/>
      </w:r>
      <w:r>
        <w:instrText xml:space="preserve"> NOTEREF _Ref340198568 \h  \* MERGEFORMAT </w:instrText>
      </w:r>
      <w:r>
        <w:fldChar w:fldCharType="separate"/>
      </w:r>
      <w:r>
        <w:t>5</w:t>
      </w:r>
      <w:r>
        <w:fldChar w:fldCharType="end"/>
      </w:r>
      <w:r w:rsidRPr="00920A2F">
        <w:rPr>
          <w:szCs w:val="22"/>
        </w:rPr>
        <w:t xml:space="preserve">, at 265, 267 (arguing that </w:t>
      </w:r>
      <w:r>
        <w:rPr>
          <w:szCs w:val="22"/>
        </w:rPr>
        <w:t>rule of law</w:t>
      </w:r>
      <w:r w:rsidRPr="00920A2F">
        <w:rPr>
          <w:szCs w:val="22"/>
        </w:rPr>
        <w:t xml:space="preserve"> ultimately must be driven by both “coherence and justice” for both the courts and the citizens).</w:t>
      </w:r>
    </w:p>
  </w:footnote>
  <w:footnote w:id="6">
    <w:p w14:paraId="6EB0E411" w14:textId="77777777" w:rsidR="00D8145D" w:rsidRPr="00920A2F" w:rsidRDefault="00D8145D" w:rsidP="00740149">
      <w:pPr>
        <w:pStyle w:val="Notedebasdepage"/>
        <w:rPr>
          <w:i/>
          <w:szCs w:val="22"/>
        </w:rPr>
      </w:pPr>
      <w:r w:rsidRPr="00920A2F">
        <w:rPr>
          <w:rStyle w:val="Appelnotedebasdep"/>
          <w:szCs w:val="22"/>
        </w:rPr>
        <w:footnoteRef/>
      </w:r>
      <w:r w:rsidRPr="00920A2F">
        <w:rPr>
          <w:szCs w:val="22"/>
        </w:rPr>
        <w:t xml:space="preserve"> </w:t>
      </w:r>
      <w:r w:rsidRPr="00920A2F">
        <w:rPr>
          <w:i/>
          <w:szCs w:val="22"/>
        </w:rPr>
        <w:t>Id.</w:t>
      </w:r>
      <w:r w:rsidRPr="00920A2F">
        <w:rPr>
          <w:szCs w:val="22"/>
        </w:rPr>
        <w:t xml:space="preserve"> </w:t>
      </w:r>
    </w:p>
  </w:footnote>
  <w:footnote w:id="7">
    <w:p w14:paraId="132A458F" w14:textId="77777777" w:rsidR="00D8145D" w:rsidRPr="00920A2F" w:rsidRDefault="00D8145D" w:rsidP="00740149">
      <w:pPr>
        <w:pStyle w:val="Notedebasdepage"/>
        <w:rPr>
          <w:szCs w:val="22"/>
        </w:rPr>
      </w:pPr>
      <w:r w:rsidRPr="00920A2F">
        <w:rPr>
          <w:rStyle w:val="Appelnotedebasdep"/>
          <w:szCs w:val="22"/>
        </w:rPr>
        <w:footnoteRef/>
      </w:r>
      <w:r w:rsidRPr="00920A2F">
        <w:rPr>
          <w:szCs w:val="22"/>
        </w:rPr>
        <w:t xml:space="preserve"> As will be discussed further in </w:t>
      </w:r>
      <w:r>
        <w:rPr>
          <w:szCs w:val="22"/>
        </w:rPr>
        <w:t>P</w:t>
      </w:r>
      <w:r w:rsidRPr="00920A2F">
        <w:rPr>
          <w:szCs w:val="22"/>
        </w:rPr>
        <w:t xml:space="preserve">art III it is important that this mechanism be incorporated into the system itself, less the </w:t>
      </w:r>
      <w:r>
        <w:rPr>
          <w:szCs w:val="22"/>
        </w:rPr>
        <w:t>rule of law</w:t>
      </w:r>
      <w:r w:rsidRPr="00920A2F">
        <w:rPr>
          <w:szCs w:val="22"/>
        </w:rPr>
        <w:t xml:space="preserve"> be undermined.  Without such a mechanism, the system risks the allegiance of its citizenry.  If the citizens cease to recognize the law, it loses meaning in their lives, even that meaning that was previously accepted.  Laws that were once obeyed, and perhaps still consistent with the citizens’ expectation at the time they were enacted, emerge as part of a foreign system aligned with discordant law.</w:t>
      </w:r>
    </w:p>
  </w:footnote>
  <w:footnote w:id="8">
    <w:p w14:paraId="422BA10C" w14:textId="77777777" w:rsidR="00D8145D" w:rsidRPr="00920A2F" w:rsidRDefault="00D8145D" w:rsidP="00251725">
      <w:pPr>
        <w:pStyle w:val="Notedebasdepage"/>
        <w:rPr>
          <w:i/>
          <w:szCs w:val="22"/>
        </w:rPr>
      </w:pPr>
      <w:r w:rsidRPr="00920A2F">
        <w:rPr>
          <w:rStyle w:val="Appelnotedebasdep"/>
          <w:rFonts w:cs="Times New Roman"/>
          <w:szCs w:val="22"/>
        </w:rPr>
        <w:footnoteRef/>
      </w:r>
      <w:r w:rsidRPr="00920A2F">
        <w:rPr>
          <w:szCs w:val="22"/>
        </w:rPr>
        <w:t xml:space="preserve"> </w:t>
      </w:r>
      <w:r w:rsidRPr="00920A2F">
        <w:rPr>
          <w:i/>
          <w:szCs w:val="22"/>
        </w:rPr>
        <w:t xml:space="preserve"> </w:t>
      </w:r>
      <w:r w:rsidRPr="00920A2F">
        <w:rPr>
          <w:rFonts w:cs="Times New Roman"/>
          <w:i/>
          <w:szCs w:val="22"/>
        </w:rPr>
        <w:t xml:space="preserve">See </w:t>
      </w:r>
      <w:r w:rsidRPr="008C4F5C">
        <w:rPr>
          <w:rFonts w:cs="Times New Roman"/>
          <w:smallCaps/>
          <w:szCs w:val="22"/>
        </w:rPr>
        <w:t>Hart</w:t>
      </w:r>
      <w:r w:rsidRPr="00920A2F">
        <w:rPr>
          <w:rFonts w:cs="Times New Roman"/>
          <w:szCs w:val="22"/>
        </w:rPr>
        <w:t xml:space="preserve">, </w:t>
      </w:r>
      <w:r w:rsidRPr="00920A2F">
        <w:rPr>
          <w:rFonts w:cs="Times New Roman"/>
          <w:i/>
          <w:szCs w:val="22"/>
        </w:rPr>
        <w:t>supra</w:t>
      </w:r>
      <w:r w:rsidRPr="00920A2F">
        <w:rPr>
          <w:rFonts w:cs="Times New Roman"/>
          <w:szCs w:val="22"/>
        </w:rPr>
        <w:t xml:space="preserve"> note</w:t>
      </w:r>
      <w:r>
        <w:rPr>
          <w:rFonts w:cs="Times New Roman"/>
          <w:szCs w:val="22"/>
        </w:rPr>
        <w:t xml:space="preserve"> </w:t>
      </w:r>
      <w:r>
        <w:rPr>
          <w:rFonts w:cs="Times New Roman"/>
        </w:rPr>
        <w:fldChar w:fldCharType="begin"/>
      </w:r>
      <w:r>
        <w:rPr>
          <w:rFonts w:cs="Times New Roman"/>
          <w:szCs w:val="22"/>
        </w:rPr>
        <w:instrText xml:space="preserve"> NOTEREF _Ref349381390 \h </w:instrText>
      </w:r>
      <w:r>
        <w:rPr>
          <w:rFonts w:cs="Times New Roman"/>
        </w:rPr>
      </w:r>
      <w:r>
        <w:rPr>
          <w:rFonts w:cs="Times New Roman"/>
        </w:rPr>
        <w:fldChar w:fldCharType="separate"/>
      </w:r>
      <w:r>
        <w:rPr>
          <w:rFonts w:cs="Times New Roman"/>
          <w:szCs w:val="22"/>
        </w:rPr>
        <w:t>7</w:t>
      </w:r>
      <w:r>
        <w:rPr>
          <w:rFonts w:cs="Times New Roman"/>
        </w:rPr>
        <w:fldChar w:fldCharType="end"/>
      </w:r>
      <w:r>
        <w:rPr>
          <w:rFonts w:cs="Times New Roman"/>
          <w:szCs w:val="22"/>
        </w:rPr>
        <w:t>,</w:t>
      </w:r>
      <w:r w:rsidRPr="00920A2F">
        <w:rPr>
          <w:rFonts w:cs="Times New Roman"/>
          <w:szCs w:val="22"/>
        </w:rPr>
        <w:t xml:space="preserve"> </w:t>
      </w:r>
      <w:r>
        <w:rPr>
          <w:i/>
          <w:szCs w:val="22"/>
        </w:rPr>
        <w:t xml:space="preserve"> </w:t>
      </w:r>
      <w:r w:rsidRPr="00920A2F">
        <w:rPr>
          <w:rFonts w:cs="Times New Roman"/>
          <w:szCs w:val="22"/>
        </w:rPr>
        <w:t>at 8 (explaining that the use of competing sources of the law help give it meaning and context otherwise absent).</w:t>
      </w:r>
    </w:p>
  </w:footnote>
  <w:footnote w:id="9">
    <w:p w14:paraId="1ECE26CC" w14:textId="77777777" w:rsidR="00D8145D" w:rsidRPr="003D0908" w:rsidRDefault="00D8145D">
      <w:pPr>
        <w:pStyle w:val="Notedebasdepage"/>
      </w:pPr>
      <w:r>
        <w:rPr>
          <w:rStyle w:val="Appelnotedebasdep"/>
        </w:rPr>
        <w:footnoteRef/>
      </w:r>
      <w:r>
        <w:t xml:space="preserve"> </w:t>
      </w:r>
      <w:r>
        <w:rPr>
          <w:i/>
        </w:rPr>
        <w:t>Id.</w:t>
      </w:r>
      <w:r>
        <w:t xml:space="preserve"> at 12.</w:t>
      </w:r>
    </w:p>
  </w:footnote>
  <w:footnote w:id="10">
    <w:p w14:paraId="65B326FD" w14:textId="77777777" w:rsidR="00D8145D" w:rsidRPr="00772C14" w:rsidRDefault="00D8145D">
      <w:pPr>
        <w:pStyle w:val="Notedebasdepage"/>
      </w:pPr>
      <w:r>
        <w:rPr>
          <w:rStyle w:val="Appelnotedebasdep"/>
        </w:rPr>
        <w:footnoteRef/>
      </w:r>
      <w:r>
        <w:t xml:space="preserve"> </w:t>
      </w:r>
      <w:r>
        <w:rPr>
          <w:i/>
        </w:rPr>
        <w:t>See</w:t>
      </w:r>
      <w:r>
        <w:t xml:space="preserve">, </w:t>
      </w:r>
      <w:r w:rsidRPr="003D0908">
        <w:rPr>
          <w:i/>
        </w:rPr>
        <w:t>e.g.,</w:t>
      </w:r>
      <w:r>
        <w:t xml:space="preserve"> Vicki L. Smith, </w:t>
      </w:r>
      <w:r>
        <w:rPr>
          <w:i/>
        </w:rPr>
        <w:t>Prototypes in the Courtroom:  Lay Representations of Legal Concepts</w:t>
      </w:r>
      <w:r>
        <w:t xml:space="preserve">, 61 J. Personality &amp; Soc. Psychol. 857, 868 (1991).  Smith’s work concluded that jurors were not influenced by the formality of substantive criminal law doctrines, and instead relied on prototypical representations drawn from their own lives and cultural identifications in reaching verdicts.  </w:t>
      </w:r>
      <w:r>
        <w:rPr>
          <w:i/>
        </w:rPr>
        <w:t>Id.</w:t>
      </w:r>
      <w:r>
        <w:t xml:space="preserve"> at 870.  People, even when instructed otherwise, carry an intuitive perception that, in the context of juries, drives them towards a verdict which conforms with their normative sense of the world and the law’s role in it.  </w:t>
      </w:r>
      <w:r>
        <w:rPr>
          <w:i/>
        </w:rPr>
        <w:t>See</w:t>
      </w:r>
      <w:r>
        <w:t xml:space="preserve"> </w:t>
      </w:r>
      <w:r w:rsidRPr="00772C14">
        <w:rPr>
          <w:smallCaps/>
        </w:rPr>
        <w:t>Howard Margolis, Patterns, Thinking, and Cognition:  A Theory of Judgment</w:t>
      </w:r>
      <w:r>
        <w:t xml:space="preserve"> 3 (1987).</w:t>
      </w:r>
    </w:p>
  </w:footnote>
  <w:footnote w:id="11">
    <w:p w14:paraId="24EBB1AC" w14:textId="77777777" w:rsidR="00D8145D" w:rsidRPr="00772C14" w:rsidRDefault="00D8145D">
      <w:pPr>
        <w:pStyle w:val="Notedebasdepage"/>
      </w:pPr>
      <w:r>
        <w:rPr>
          <w:rStyle w:val="Appelnotedebasdep"/>
        </w:rPr>
        <w:footnoteRef/>
      </w:r>
      <w:r>
        <w:t xml:space="preserve"> </w:t>
      </w:r>
      <w:r>
        <w:rPr>
          <w:i/>
        </w:rPr>
        <w:t xml:space="preserve">See </w:t>
      </w:r>
      <w:r>
        <w:t xml:space="preserve">Lawrence Sloan, </w:t>
      </w:r>
      <w:r>
        <w:rPr>
          <w:i/>
        </w:rPr>
        <w:t>The New Textualists’ New Text</w:t>
      </w:r>
      <w:r>
        <w:t xml:space="preserve"> 38 Loy. L.A. L. Rev. 2027, 2041 (2005) (offering prototypical reasoning as a methodology of interpretation).</w:t>
      </w:r>
    </w:p>
  </w:footnote>
  <w:footnote w:id="12">
    <w:p w14:paraId="010BCD55" w14:textId="77777777" w:rsidR="00D8145D" w:rsidRPr="00920A2F" w:rsidRDefault="00D8145D" w:rsidP="00740149">
      <w:pPr>
        <w:pStyle w:val="Notedebasdepage"/>
        <w:rPr>
          <w:i/>
          <w:szCs w:val="22"/>
        </w:rPr>
      </w:pPr>
      <w:r w:rsidRPr="00920A2F">
        <w:rPr>
          <w:rStyle w:val="Appelnotedebasdep"/>
          <w:rFonts w:cs="Times New Roman"/>
          <w:szCs w:val="22"/>
        </w:rPr>
        <w:footnoteRef/>
      </w:r>
      <w:r w:rsidRPr="00920A2F">
        <w:rPr>
          <w:rFonts w:cs="Times New Roman"/>
          <w:i/>
          <w:szCs w:val="22"/>
        </w:rPr>
        <w:t xml:space="preserve"> See </w:t>
      </w:r>
      <w:r>
        <w:rPr>
          <w:rFonts w:cs="Times New Roman"/>
          <w:smallCaps/>
          <w:szCs w:val="22"/>
        </w:rPr>
        <w:t>Hart</w:t>
      </w:r>
      <w:r>
        <w:rPr>
          <w:rFonts w:cs="Times New Roman"/>
          <w:szCs w:val="22"/>
        </w:rPr>
        <w:t xml:space="preserve">, </w:t>
      </w:r>
      <w:r>
        <w:rPr>
          <w:rFonts w:cs="Times New Roman"/>
          <w:i/>
          <w:szCs w:val="22"/>
        </w:rPr>
        <w:t>supra</w:t>
      </w:r>
      <w:r>
        <w:rPr>
          <w:rFonts w:cs="Times New Roman"/>
          <w:szCs w:val="22"/>
        </w:rPr>
        <w:t xml:space="preserve"> note </w:t>
      </w:r>
      <w:r>
        <w:rPr>
          <w:rFonts w:cs="Times New Roman"/>
          <w:szCs w:val="22"/>
        </w:rPr>
        <w:fldChar w:fldCharType="begin"/>
      </w:r>
      <w:r>
        <w:rPr>
          <w:rFonts w:cs="Times New Roman"/>
          <w:szCs w:val="22"/>
        </w:rPr>
        <w:instrText xml:space="preserve"> NOTEREF _Ref349381390 \h </w:instrText>
      </w:r>
      <w:r>
        <w:rPr>
          <w:rFonts w:cs="Times New Roman"/>
          <w:szCs w:val="22"/>
        </w:rPr>
      </w:r>
      <w:r>
        <w:rPr>
          <w:rFonts w:cs="Times New Roman"/>
          <w:szCs w:val="22"/>
        </w:rPr>
        <w:fldChar w:fldCharType="separate"/>
      </w:r>
      <w:r>
        <w:rPr>
          <w:rFonts w:cs="Times New Roman"/>
          <w:szCs w:val="22"/>
        </w:rPr>
        <w:t>7</w:t>
      </w:r>
      <w:r>
        <w:rPr>
          <w:rFonts w:cs="Times New Roman"/>
          <w:szCs w:val="22"/>
        </w:rPr>
        <w:fldChar w:fldCharType="end"/>
      </w:r>
      <w:r>
        <w:rPr>
          <w:rFonts w:cs="Times New Roman"/>
          <w:szCs w:val="22"/>
        </w:rPr>
        <w:t>, at 8.</w:t>
      </w:r>
      <w:r w:rsidRPr="00920A2F">
        <w:rPr>
          <w:rFonts w:cs="Times New Roman"/>
          <w:i/>
          <w:szCs w:val="22"/>
        </w:rPr>
        <w:t>.</w:t>
      </w:r>
      <w:r w:rsidRPr="00920A2F">
        <w:rPr>
          <w:rFonts w:cs="Times New Roman"/>
          <w:szCs w:val="22"/>
        </w:rPr>
        <w:t xml:space="preserve"> (explaining that the use of competing sources of the law help give it meaning and context otherwise absent).</w:t>
      </w:r>
      <w:r>
        <w:rPr>
          <w:rFonts w:cs="Times New Roman"/>
          <w:szCs w:val="22"/>
        </w:rPr>
        <w:t xml:space="preserve">  Though as will be discussed momentarily even methodologies of ad hoc judging as may present in nullification do not necessarily produce inconsistent results, at least not in the way Hart and others predicted.</w:t>
      </w:r>
    </w:p>
  </w:footnote>
  <w:footnote w:id="13">
    <w:p w14:paraId="3CD0F20C" w14:textId="77777777" w:rsidR="00D8145D" w:rsidRPr="008F2A9B" w:rsidRDefault="00D8145D">
      <w:pPr>
        <w:pStyle w:val="Notedebasdepage"/>
      </w:pPr>
      <w:r>
        <w:rPr>
          <w:rStyle w:val="Appelnotedebasdep"/>
        </w:rPr>
        <w:footnoteRef/>
      </w:r>
      <w:r>
        <w:t xml:space="preserve"> </w:t>
      </w:r>
      <w:r>
        <w:rPr>
          <w:i/>
        </w:rPr>
        <w:t>See</w:t>
      </w:r>
      <w:r>
        <w:t xml:space="preserve"> Lawrence Solum, </w:t>
      </w:r>
      <w:r>
        <w:rPr>
          <w:i/>
        </w:rPr>
        <w:t>Natural Justice</w:t>
      </w:r>
      <w:r>
        <w:t xml:space="preserve">, 51 </w:t>
      </w:r>
      <w:r>
        <w:rPr>
          <w:smallCaps/>
        </w:rPr>
        <w:t xml:space="preserve">American Journal of Jurisprudence </w:t>
      </w:r>
      <w:r>
        <w:t>65 (2006).</w:t>
      </w:r>
    </w:p>
  </w:footnote>
  <w:footnote w:id="14">
    <w:p w14:paraId="36E28ABB" w14:textId="77777777" w:rsidR="00D8145D" w:rsidRPr="00014335" w:rsidRDefault="00D8145D">
      <w:pPr>
        <w:pStyle w:val="Notedebasdepage"/>
      </w:pPr>
      <w:r>
        <w:rPr>
          <w:rStyle w:val="Appelnotedebasdep"/>
        </w:rPr>
        <w:footnoteRef/>
      </w:r>
      <w:r>
        <w:t xml:space="preserve"> </w:t>
      </w:r>
      <w:r>
        <w:rPr>
          <w:i/>
        </w:rPr>
        <w:t>See</w:t>
      </w:r>
      <w:r>
        <w:t xml:space="preserve"> </w:t>
      </w:r>
      <w:r>
        <w:rPr>
          <w:smallCaps/>
        </w:rPr>
        <w:t>Paul H. Robinson and John M. Darley</w:t>
      </w:r>
      <w:r>
        <w:t xml:space="preserve">, </w:t>
      </w:r>
      <w:r>
        <w:rPr>
          <w:smallCaps/>
        </w:rPr>
        <w:t>Justice, Liability, and Blame:  Community Views and the Criminal Law</w:t>
      </w:r>
      <w:r>
        <w:t>4-8 (1995).</w:t>
      </w:r>
    </w:p>
  </w:footnote>
  <w:footnote w:id="15">
    <w:p w14:paraId="2BF0FB1B" w14:textId="77777777" w:rsidR="00D8145D" w:rsidRPr="00920A2F" w:rsidRDefault="00D8145D" w:rsidP="00740149">
      <w:pPr>
        <w:pStyle w:val="Notedebasdepage"/>
        <w:rPr>
          <w:szCs w:val="22"/>
        </w:rPr>
      </w:pPr>
      <w:r w:rsidRPr="00920A2F">
        <w:rPr>
          <w:rStyle w:val="Appelnotedebasdep"/>
          <w:szCs w:val="22"/>
        </w:rPr>
        <w:footnoteRef/>
      </w:r>
      <w:r>
        <w:rPr>
          <w:szCs w:val="22"/>
        </w:rPr>
        <w:t xml:space="preserve"> </w:t>
      </w:r>
      <w:r w:rsidRPr="00920A2F">
        <w:rPr>
          <w:szCs w:val="22"/>
        </w:rPr>
        <w:t xml:space="preserve">Radin, </w:t>
      </w:r>
      <w:r w:rsidRPr="00920A2F">
        <w:rPr>
          <w:i/>
          <w:szCs w:val="22"/>
        </w:rPr>
        <w:t>supra</w:t>
      </w:r>
      <w:r w:rsidRPr="00920A2F">
        <w:rPr>
          <w:szCs w:val="22"/>
        </w:rPr>
        <w:t xml:space="preserve"> note </w:t>
      </w:r>
      <w:r>
        <w:fldChar w:fldCharType="begin"/>
      </w:r>
      <w:r>
        <w:instrText xml:space="preserve"> NOTEREF _Ref340198568 \h  \* MERGEFORMAT </w:instrText>
      </w:r>
      <w:r>
        <w:fldChar w:fldCharType="separate"/>
      </w:r>
      <w:r>
        <w:t>5</w:t>
      </w:r>
      <w:r>
        <w:fldChar w:fldCharType="end"/>
      </w:r>
      <w:r w:rsidRPr="00920A2F">
        <w:rPr>
          <w:szCs w:val="22"/>
        </w:rPr>
        <w:t>, at 808-09.</w:t>
      </w:r>
    </w:p>
  </w:footnote>
  <w:footnote w:id="16">
    <w:p w14:paraId="56DE061C" w14:textId="77777777" w:rsidR="00D8145D" w:rsidRPr="00920A2F" w:rsidRDefault="00D8145D" w:rsidP="00740149">
      <w:pPr>
        <w:pStyle w:val="Notedebasdepage"/>
        <w:rPr>
          <w:szCs w:val="22"/>
        </w:rPr>
      </w:pPr>
      <w:r w:rsidRPr="00920A2F">
        <w:rPr>
          <w:rStyle w:val="Appelnotedebasdep"/>
          <w:szCs w:val="22"/>
        </w:rPr>
        <w:footnoteRef/>
      </w:r>
      <w:r w:rsidRPr="00920A2F">
        <w:rPr>
          <w:szCs w:val="22"/>
        </w:rPr>
        <w:t xml:space="preserve"> </w:t>
      </w:r>
      <w:r>
        <w:rPr>
          <w:i/>
          <w:szCs w:val="22"/>
        </w:rPr>
        <w:t>Id.</w:t>
      </w:r>
      <w:r>
        <w:rPr>
          <w:szCs w:val="22"/>
        </w:rPr>
        <w:t xml:space="preserve"> </w:t>
      </w:r>
      <w:r w:rsidRPr="00920A2F">
        <w:rPr>
          <w:szCs w:val="22"/>
        </w:rPr>
        <w:t>at 817 (arguing that a rule will control in practice only when there is strong public agreement surrounding it).</w:t>
      </w:r>
    </w:p>
  </w:footnote>
  <w:footnote w:id="17">
    <w:p w14:paraId="1E9D4F11" w14:textId="77777777" w:rsidR="00D8145D" w:rsidRPr="00920A2F" w:rsidRDefault="00D8145D" w:rsidP="00740149">
      <w:pPr>
        <w:pStyle w:val="Notedebasdepage"/>
        <w:rPr>
          <w:szCs w:val="22"/>
        </w:rPr>
      </w:pPr>
      <w:r w:rsidRPr="00920A2F">
        <w:rPr>
          <w:rStyle w:val="Appelnotedebasdep"/>
          <w:szCs w:val="22"/>
        </w:rPr>
        <w:footnoteRef/>
      </w:r>
      <w:r>
        <w:rPr>
          <w:szCs w:val="22"/>
        </w:rPr>
        <w:t xml:space="preserve"> </w:t>
      </w:r>
      <w:r w:rsidRPr="00920A2F">
        <w:rPr>
          <w:szCs w:val="22"/>
        </w:rPr>
        <w:t xml:space="preserve">Dworkin, </w:t>
      </w:r>
      <w:r w:rsidRPr="00920A2F">
        <w:rPr>
          <w:i/>
          <w:szCs w:val="22"/>
        </w:rPr>
        <w:t>supra</w:t>
      </w:r>
      <w:r w:rsidRPr="00920A2F">
        <w:rPr>
          <w:szCs w:val="22"/>
        </w:rPr>
        <w:t xml:space="preserve"> note</w:t>
      </w:r>
      <w:r>
        <w:rPr>
          <w:szCs w:val="22"/>
        </w:rPr>
        <w:t xml:space="preserve"> </w:t>
      </w:r>
      <w:r w:rsidRPr="00920A2F">
        <w:rPr>
          <w:szCs w:val="22"/>
        </w:rPr>
        <w:fldChar w:fldCharType="begin"/>
      </w:r>
      <w:r w:rsidRPr="00920A2F">
        <w:rPr>
          <w:szCs w:val="22"/>
        </w:rPr>
        <w:instrText xml:space="preserve"> PAGEREF _Ref348707767 \h </w:instrText>
      </w:r>
      <w:r w:rsidRPr="00920A2F">
        <w:rPr>
          <w:szCs w:val="22"/>
        </w:rPr>
      </w:r>
      <w:r w:rsidRPr="00920A2F">
        <w:rPr>
          <w:szCs w:val="22"/>
        </w:rPr>
        <w:fldChar w:fldCharType="separate"/>
      </w:r>
      <w:r w:rsidRPr="00920A2F">
        <w:rPr>
          <w:noProof/>
          <w:szCs w:val="22"/>
        </w:rPr>
        <w:t>35</w:t>
      </w:r>
      <w:r w:rsidRPr="00920A2F">
        <w:rPr>
          <w:szCs w:val="22"/>
        </w:rPr>
        <w:fldChar w:fldCharType="end"/>
      </w:r>
      <w:r w:rsidRPr="00920A2F">
        <w:rPr>
          <w:szCs w:val="22"/>
        </w:rPr>
        <w:t xml:space="preserve">, at 96, 189-90 (requiring that in order for the </w:t>
      </w:r>
      <w:r>
        <w:rPr>
          <w:szCs w:val="22"/>
        </w:rPr>
        <w:t>rule of law</w:t>
      </w:r>
      <w:r w:rsidRPr="00920A2F">
        <w:rPr>
          <w:szCs w:val="22"/>
        </w:rPr>
        <w:t xml:space="preserve"> to achieve full integration of the citizens’ perspective, “</w:t>
      </w:r>
      <w:r>
        <w:rPr>
          <w:szCs w:val="22"/>
        </w:rPr>
        <w:t>e</w:t>
      </w:r>
      <w:r w:rsidRPr="00920A2F">
        <w:rPr>
          <w:szCs w:val="22"/>
        </w:rPr>
        <w:t>ach citizen must accept demands on him, and may make demands on others…</w:t>
      </w:r>
      <w:r>
        <w:rPr>
          <w:szCs w:val="22"/>
        </w:rPr>
        <w:t xml:space="preserve">.  </w:t>
      </w:r>
      <w:r w:rsidRPr="00920A2F">
        <w:rPr>
          <w:szCs w:val="22"/>
        </w:rPr>
        <w:t>Integrity therefore fuses citizens’ moral and political lives:  it asks the good citizen…to interpret the common scheme of justice…</w:t>
      </w:r>
      <w:r>
        <w:rPr>
          <w:szCs w:val="22"/>
        </w:rPr>
        <w:t>.</w:t>
      </w:r>
      <w:r w:rsidRPr="00920A2F">
        <w:rPr>
          <w:szCs w:val="22"/>
        </w:rPr>
        <w:t>”).</w:t>
      </w:r>
    </w:p>
  </w:footnote>
  <w:footnote w:id="18">
    <w:p w14:paraId="13EF126D" w14:textId="77777777" w:rsidR="00D8145D" w:rsidRPr="00920A2F" w:rsidRDefault="00D8145D" w:rsidP="00740149">
      <w:pPr>
        <w:pStyle w:val="Notedebasdepage"/>
        <w:rPr>
          <w:szCs w:val="22"/>
        </w:rPr>
      </w:pPr>
      <w:r w:rsidRPr="00920A2F">
        <w:rPr>
          <w:rStyle w:val="Appelnotedebasdep"/>
          <w:szCs w:val="22"/>
        </w:rPr>
        <w:footnoteRef/>
      </w:r>
      <w:r w:rsidRPr="00920A2F">
        <w:rPr>
          <w:szCs w:val="22"/>
        </w:rPr>
        <w:t xml:space="preserve"> </w:t>
      </w:r>
      <w:r w:rsidRPr="00920A2F">
        <w:rPr>
          <w:i/>
          <w:szCs w:val="22"/>
        </w:rPr>
        <w:t>See id.</w:t>
      </w:r>
      <w:r w:rsidRPr="00920A2F">
        <w:rPr>
          <w:szCs w:val="22"/>
        </w:rPr>
        <w:t xml:space="preserve"> at 187-90.</w:t>
      </w:r>
    </w:p>
  </w:footnote>
  <w:footnote w:id="19">
    <w:p w14:paraId="55A28B81" w14:textId="77777777" w:rsidR="00D8145D" w:rsidRPr="00795DA6" w:rsidRDefault="00D8145D">
      <w:pPr>
        <w:pStyle w:val="Notedebasdepage"/>
      </w:pPr>
      <w:r>
        <w:rPr>
          <w:rStyle w:val="Appelnotedebasdep"/>
        </w:rPr>
        <w:footnoteRef/>
      </w:r>
      <w:r>
        <w:t xml:space="preserve"> </w:t>
      </w:r>
      <w:r>
        <w:rPr>
          <w:i/>
        </w:rPr>
        <w:t xml:space="preserve">See </w:t>
      </w:r>
      <w:r>
        <w:t xml:space="preserve">Roscoe Pound, </w:t>
      </w:r>
      <w:r>
        <w:rPr>
          <w:i/>
        </w:rPr>
        <w:t>Law in Books and Law in Action</w:t>
      </w:r>
      <w:r>
        <w:t>, 44 Am. L. Rev. 12, 32-3 (1910).</w:t>
      </w:r>
    </w:p>
  </w:footnote>
  <w:footnote w:id="20">
    <w:p w14:paraId="57CEBEA3" w14:textId="77777777" w:rsidR="00D8145D" w:rsidRPr="00920A2F" w:rsidRDefault="00D8145D" w:rsidP="00740149">
      <w:pPr>
        <w:pStyle w:val="Notedebasdepage"/>
        <w:rPr>
          <w:rFonts w:cs="Times New Roman"/>
          <w:szCs w:val="22"/>
        </w:rPr>
      </w:pPr>
      <w:r w:rsidRPr="00920A2F">
        <w:rPr>
          <w:rStyle w:val="Appelnotedebasdep"/>
          <w:rFonts w:cs="Times New Roman"/>
          <w:szCs w:val="22"/>
        </w:rPr>
        <w:footnoteRef/>
      </w:r>
      <w:r w:rsidRPr="00920A2F">
        <w:rPr>
          <w:rFonts w:cs="Times New Roman"/>
          <w:szCs w:val="22"/>
        </w:rPr>
        <w:t xml:space="preserve"> </w:t>
      </w:r>
      <w:r w:rsidRPr="00920A2F">
        <w:rPr>
          <w:rFonts w:cs="Times New Roman"/>
          <w:smallCaps/>
          <w:szCs w:val="22"/>
        </w:rPr>
        <w:t>J</w:t>
      </w:r>
      <w:r>
        <w:rPr>
          <w:rFonts w:cs="Times New Roman"/>
          <w:smallCaps/>
          <w:szCs w:val="22"/>
        </w:rPr>
        <w:t>ür</w:t>
      </w:r>
      <w:r w:rsidRPr="00920A2F">
        <w:rPr>
          <w:rFonts w:cs="Times New Roman"/>
          <w:smallCaps/>
          <w:szCs w:val="22"/>
        </w:rPr>
        <w:t xml:space="preserve">gen Habermas, The Theory of Communicative Action 102-11 </w:t>
      </w:r>
      <w:r w:rsidRPr="00920A2F">
        <w:rPr>
          <w:rFonts w:cs="Times New Roman"/>
          <w:szCs w:val="22"/>
        </w:rPr>
        <w:t>(T. McCarthy, trans., Boston, 1984)</w:t>
      </w:r>
      <w:r>
        <w:rPr>
          <w:rFonts w:cs="Times New Roman"/>
          <w:szCs w:val="22"/>
        </w:rPr>
        <w:t xml:space="preserve"> </w:t>
      </w:r>
      <w:r w:rsidRPr="00920A2F">
        <w:rPr>
          <w:rFonts w:cs="Times New Roman"/>
          <w:szCs w:val="22"/>
        </w:rPr>
        <w:t xml:space="preserve">(suggesting that the proper source of interpretation is not the people who wrote the text, but the people who live under it). </w:t>
      </w:r>
    </w:p>
  </w:footnote>
  <w:footnote w:id="21">
    <w:p w14:paraId="54CE4E7E" w14:textId="77777777" w:rsidR="00D8145D" w:rsidRPr="00920A2F" w:rsidRDefault="00D8145D" w:rsidP="008A4841">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Phillip Soper</w:t>
      </w:r>
      <w:r w:rsidRPr="00920A2F">
        <w:rPr>
          <w:szCs w:val="22"/>
        </w:rPr>
        <w:t xml:space="preserve">, </w:t>
      </w:r>
      <w:r>
        <w:rPr>
          <w:smallCaps/>
          <w:szCs w:val="22"/>
        </w:rPr>
        <w:t xml:space="preserve">The </w:t>
      </w:r>
      <w:r w:rsidRPr="00920A2F">
        <w:rPr>
          <w:smallCaps/>
          <w:szCs w:val="22"/>
        </w:rPr>
        <w:t>Ethics of Deference:  Learning from Law’s Morals</w:t>
      </w:r>
      <w:r w:rsidRPr="00920A2F">
        <w:rPr>
          <w:szCs w:val="22"/>
        </w:rPr>
        <w:t xml:space="preserve"> 170, 183</w:t>
      </w:r>
      <w:r>
        <w:rPr>
          <w:szCs w:val="22"/>
        </w:rPr>
        <w:t xml:space="preserve"> </w:t>
      </w:r>
      <w:r w:rsidRPr="00920A2F">
        <w:rPr>
          <w:szCs w:val="22"/>
        </w:rPr>
        <w:t>(Cambridge Univ</w:t>
      </w:r>
      <w:r>
        <w:rPr>
          <w:szCs w:val="22"/>
        </w:rPr>
        <w:t>.</w:t>
      </w:r>
      <w:r w:rsidRPr="00920A2F">
        <w:rPr>
          <w:szCs w:val="22"/>
        </w:rPr>
        <w:t xml:space="preserve"> </w:t>
      </w:r>
      <w:r>
        <w:rPr>
          <w:szCs w:val="22"/>
        </w:rPr>
        <w:t>P</w:t>
      </w:r>
      <w:r w:rsidRPr="00920A2F">
        <w:rPr>
          <w:szCs w:val="22"/>
        </w:rPr>
        <w:t>ress 2002).</w:t>
      </w:r>
    </w:p>
  </w:footnote>
  <w:footnote w:id="22">
    <w:p w14:paraId="09A60DF2" w14:textId="77777777" w:rsidR="00D8145D" w:rsidRPr="00920A2F" w:rsidRDefault="00D8145D" w:rsidP="008A4841">
      <w:pPr>
        <w:pStyle w:val="Notedebasdepage"/>
        <w:rPr>
          <w:szCs w:val="22"/>
        </w:rPr>
      </w:pPr>
      <w:r w:rsidRPr="00920A2F">
        <w:rPr>
          <w:rStyle w:val="Appelnotedebasdep"/>
          <w:szCs w:val="22"/>
        </w:rPr>
        <w:footnoteRef/>
      </w:r>
      <w:r w:rsidRPr="00920A2F">
        <w:rPr>
          <w:szCs w:val="22"/>
        </w:rPr>
        <w:t xml:space="preserve"> </w:t>
      </w:r>
      <w:r w:rsidRPr="00920A2F">
        <w:rPr>
          <w:i/>
          <w:szCs w:val="22"/>
        </w:rPr>
        <w:t>See</w:t>
      </w:r>
      <w:r w:rsidRPr="00920A2F">
        <w:rPr>
          <w:szCs w:val="22"/>
        </w:rPr>
        <w:t xml:space="preserve"> </w:t>
      </w:r>
      <w:r w:rsidRPr="00920A2F">
        <w:rPr>
          <w:smallCaps/>
          <w:szCs w:val="22"/>
        </w:rPr>
        <w:t>Greene</w:t>
      </w:r>
      <w:r w:rsidRPr="00920A2F">
        <w:rPr>
          <w:szCs w:val="22"/>
        </w:rPr>
        <w:t xml:space="preserve">, </w:t>
      </w:r>
      <w:r w:rsidRPr="00920A2F">
        <w:rPr>
          <w:i/>
          <w:szCs w:val="22"/>
        </w:rPr>
        <w:t xml:space="preserve">supra </w:t>
      </w:r>
      <w:r w:rsidRPr="00920A2F">
        <w:rPr>
          <w:szCs w:val="22"/>
        </w:rPr>
        <w:t xml:space="preserve">note </w:t>
      </w:r>
      <w:r>
        <w:fldChar w:fldCharType="begin"/>
      </w:r>
      <w:r>
        <w:instrText xml:space="preserve"> NOTEREF _Ref348425583 \h  \* MERGEFORMAT </w:instrText>
      </w:r>
      <w:r>
        <w:fldChar w:fldCharType="separate"/>
      </w:r>
      <w:r w:rsidRPr="0062121D">
        <w:rPr>
          <w:szCs w:val="22"/>
        </w:rPr>
        <w:t>34</w:t>
      </w:r>
      <w:r>
        <w:fldChar w:fldCharType="end"/>
      </w:r>
      <w:r w:rsidRPr="00920A2F">
        <w:rPr>
          <w:szCs w:val="22"/>
        </w:rPr>
        <w:t xml:space="preserve">, at 83, (arguing that law must spring from shared values to merit obedience); Joseph Raz, </w:t>
      </w:r>
      <w:r w:rsidRPr="00920A2F">
        <w:rPr>
          <w:i/>
          <w:szCs w:val="22"/>
        </w:rPr>
        <w:t>The Obligation to Obey:  Revision and Tradition</w:t>
      </w:r>
      <w:r w:rsidRPr="00920A2F">
        <w:rPr>
          <w:szCs w:val="22"/>
        </w:rPr>
        <w:t xml:space="preserve"> 174</w:t>
      </w:r>
      <w:r>
        <w:rPr>
          <w:szCs w:val="22"/>
        </w:rPr>
        <w:t>,</w:t>
      </w:r>
      <w:r w:rsidRPr="00920A2F">
        <w:rPr>
          <w:i/>
          <w:szCs w:val="22"/>
        </w:rPr>
        <w:t xml:space="preserve"> </w:t>
      </w:r>
      <w:r w:rsidRPr="00920A2F">
        <w:rPr>
          <w:szCs w:val="22"/>
        </w:rPr>
        <w:t xml:space="preserve">in William Edmundson, ed. </w:t>
      </w:r>
      <w:r w:rsidRPr="00920A2F">
        <w:rPr>
          <w:smallCaps/>
          <w:szCs w:val="22"/>
        </w:rPr>
        <w:t>The Duty to Obey the Law:  Selected Philosophical Readings</w:t>
      </w:r>
      <w:r w:rsidRPr="00920A2F">
        <w:rPr>
          <w:szCs w:val="22"/>
        </w:rPr>
        <w:t xml:space="preserve">  (Rowman &amp; Littlefield 1999) (rejecting required obedience to laws that while promoting stability within a community fail to embody communal values).</w:t>
      </w:r>
    </w:p>
  </w:footnote>
  <w:footnote w:id="23">
    <w:p w14:paraId="4271AC0B" w14:textId="77777777" w:rsidR="00D8145D" w:rsidRPr="00920A2F" w:rsidRDefault="00D8145D" w:rsidP="008A4841">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Margaret Gilbert</w:t>
      </w:r>
      <w:r w:rsidRPr="00920A2F">
        <w:rPr>
          <w:szCs w:val="22"/>
        </w:rPr>
        <w:t xml:space="preserve">, </w:t>
      </w:r>
      <w:r w:rsidRPr="00920A2F">
        <w:rPr>
          <w:smallCaps/>
          <w:szCs w:val="22"/>
        </w:rPr>
        <w:t>A Theory of Political Obligation:  Membership, Commitment, and the Bonds of Society 279 (</w:t>
      </w:r>
      <w:r w:rsidRPr="00920A2F">
        <w:rPr>
          <w:szCs w:val="22"/>
        </w:rPr>
        <w:t>Clarendon Press</w:t>
      </w:r>
      <w:r w:rsidRPr="00920A2F">
        <w:rPr>
          <w:smallCaps/>
          <w:szCs w:val="22"/>
        </w:rPr>
        <w:t xml:space="preserve"> 2006);</w:t>
      </w:r>
      <w:r w:rsidRPr="00920A2F">
        <w:rPr>
          <w:szCs w:val="22"/>
        </w:rPr>
        <w:t xml:space="preserve"> David Hume, </w:t>
      </w:r>
      <w:r w:rsidRPr="00920A2F">
        <w:rPr>
          <w:i/>
          <w:szCs w:val="22"/>
        </w:rPr>
        <w:t>Of the Original Contract</w:t>
      </w:r>
      <w:r w:rsidRPr="00920A2F">
        <w:rPr>
          <w:szCs w:val="22"/>
        </w:rPr>
        <w:t xml:space="preserve"> 268, in Alasdair MacIntyre, ed.</w:t>
      </w:r>
      <w:r>
        <w:rPr>
          <w:szCs w:val="22"/>
        </w:rPr>
        <w:t>,</w:t>
      </w:r>
      <w:r w:rsidRPr="00920A2F">
        <w:rPr>
          <w:szCs w:val="22"/>
        </w:rPr>
        <w:t xml:space="preserve"> </w:t>
      </w:r>
      <w:r w:rsidRPr="00920A2F">
        <w:rPr>
          <w:smallCaps/>
          <w:szCs w:val="22"/>
        </w:rPr>
        <w:t xml:space="preserve">Hume’s Ethical Writings, </w:t>
      </w:r>
      <w:r w:rsidRPr="00920A2F">
        <w:rPr>
          <w:szCs w:val="22"/>
        </w:rPr>
        <w:t>(Notre Dame Univ</w:t>
      </w:r>
      <w:r>
        <w:rPr>
          <w:szCs w:val="22"/>
        </w:rPr>
        <w:t>.</w:t>
      </w:r>
      <w:r w:rsidRPr="00920A2F">
        <w:rPr>
          <w:szCs w:val="22"/>
        </w:rPr>
        <w:t xml:space="preserve"> Press 1965); </w:t>
      </w:r>
      <w:r w:rsidRPr="00920A2F">
        <w:rPr>
          <w:smallCaps/>
          <w:szCs w:val="22"/>
        </w:rPr>
        <w:t>Abraham Lincoln</w:t>
      </w:r>
      <w:r w:rsidRPr="00920A2F">
        <w:rPr>
          <w:szCs w:val="22"/>
        </w:rPr>
        <w:t xml:space="preserve">, </w:t>
      </w:r>
      <w:r w:rsidRPr="00920A2F">
        <w:rPr>
          <w:smallCaps/>
          <w:szCs w:val="22"/>
        </w:rPr>
        <w:t xml:space="preserve">Abraham Lincoln:  Speeches and Writings, 1859-1865 </w:t>
      </w:r>
      <w:r w:rsidRPr="00920A2F">
        <w:rPr>
          <w:szCs w:val="22"/>
        </w:rPr>
        <w:t>(New York Library of America 1989) (all noting that disobedience to the law is often feared as contagious and therefore resulting in systematic instability, when in reality it may promote a more stable law by creating one that is more immediately responsive to the populous).</w:t>
      </w:r>
    </w:p>
  </w:footnote>
  <w:footnote w:id="24">
    <w:p w14:paraId="1DE20581" w14:textId="77777777" w:rsidR="00D8145D" w:rsidRPr="00920A2F" w:rsidRDefault="00D8145D" w:rsidP="008A4841">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Greene</w:t>
      </w:r>
      <w:r w:rsidRPr="00920A2F">
        <w:rPr>
          <w:szCs w:val="22"/>
        </w:rPr>
        <w:t xml:space="preserve">, </w:t>
      </w:r>
      <w:r w:rsidRPr="00920A2F">
        <w:rPr>
          <w:i/>
          <w:szCs w:val="22"/>
        </w:rPr>
        <w:t>supra</w:t>
      </w:r>
      <w:r w:rsidRPr="00920A2F">
        <w:rPr>
          <w:szCs w:val="22"/>
        </w:rPr>
        <w:t xml:space="preserve"> note </w:t>
      </w:r>
      <w:r>
        <w:fldChar w:fldCharType="begin"/>
      </w:r>
      <w:r>
        <w:instrText xml:space="preserve"> NOTEREF _Ref348425583 \h  \* MERGEFORMAT </w:instrText>
      </w:r>
      <w:r>
        <w:fldChar w:fldCharType="separate"/>
      </w:r>
      <w:r w:rsidRPr="0062121D">
        <w:rPr>
          <w:szCs w:val="22"/>
        </w:rPr>
        <w:t>34</w:t>
      </w:r>
      <w:r>
        <w:fldChar w:fldCharType="end"/>
      </w:r>
      <w:r w:rsidRPr="00920A2F">
        <w:rPr>
          <w:szCs w:val="22"/>
        </w:rPr>
        <w:t>, at 98 (noting that laws may become outdated and thus fail to represent the needs of the citizens or may never have accounted for those needs in the first place).</w:t>
      </w:r>
    </w:p>
  </w:footnote>
  <w:footnote w:id="25">
    <w:p w14:paraId="02F9E1BC" w14:textId="77777777" w:rsidR="00D8145D" w:rsidRPr="00920A2F" w:rsidRDefault="00D8145D" w:rsidP="008A4841">
      <w:pPr>
        <w:pStyle w:val="Notedebasdepage"/>
        <w:rPr>
          <w:i/>
          <w:szCs w:val="22"/>
        </w:rPr>
      </w:pPr>
      <w:r w:rsidRPr="00920A2F">
        <w:rPr>
          <w:rStyle w:val="Appelnotedebasdep"/>
          <w:szCs w:val="22"/>
        </w:rPr>
        <w:footnoteRef/>
      </w:r>
      <w:r w:rsidRPr="00920A2F">
        <w:rPr>
          <w:szCs w:val="22"/>
        </w:rPr>
        <w:t xml:space="preserve"> </w:t>
      </w:r>
      <w:r w:rsidRPr="00920A2F">
        <w:rPr>
          <w:i/>
          <w:szCs w:val="22"/>
        </w:rPr>
        <w:t>See id.</w:t>
      </w:r>
    </w:p>
  </w:footnote>
  <w:footnote w:id="26">
    <w:p w14:paraId="4755A1CB" w14:textId="77777777" w:rsidR="00D8145D" w:rsidRPr="00920A2F" w:rsidRDefault="00D8145D" w:rsidP="008A4841">
      <w:pPr>
        <w:pStyle w:val="Notedebasdepage"/>
        <w:rPr>
          <w:i/>
          <w:szCs w:val="22"/>
        </w:rPr>
      </w:pPr>
      <w:r w:rsidRPr="00920A2F">
        <w:rPr>
          <w:rStyle w:val="Appelnotedebasdep"/>
          <w:szCs w:val="22"/>
        </w:rPr>
        <w:footnoteRef/>
      </w:r>
      <w:r w:rsidRPr="00920A2F">
        <w:rPr>
          <w:szCs w:val="22"/>
        </w:rPr>
        <w:t xml:space="preserve"> </w:t>
      </w:r>
      <w:r w:rsidRPr="00920A2F">
        <w:rPr>
          <w:i/>
          <w:szCs w:val="22"/>
        </w:rPr>
        <w:t>See id.</w:t>
      </w:r>
    </w:p>
  </w:footnote>
  <w:footnote w:id="27">
    <w:p w14:paraId="3B2CC0F1" w14:textId="77777777" w:rsidR="00D8145D" w:rsidRPr="00920A2F" w:rsidRDefault="00D8145D">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Pr>
          <w:i/>
          <w:szCs w:val="22"/>
        </w:rPr>
        <w:t>i</w:t>
      </w:r>
      <w:r w:rsidRPr="00920A2F">
        <w:rPr>
          <w:i/>
          <w:szCs w:val="22"/>
        </w:rPr>
        <w:t>d.</w:t>
      </w:r>
      <w:r w:rsidRPr="00920A2F">
        <w:rPr>
          <w:szCs w:val="22"/>
        </w:rPr>
        <w:t xml:space="preserve"> at 99.</w:t>
      </w:r>
    </w:p>
  </w:footnote>
  <w:footnote w:id="28">
    <w:p w14:paraId="3EF2A003" w14:textId="77777777" w:rsidR="00D8145D" w:rsidRPr="00920A2F" w:rsidRDefault="00D8145D">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BD3FB2">
        <w:rPr>
          <w:smallCaps/>
          <w:szCs w:val="22"/>
        </w:rPr>
        <w:t>Robert Paul Wolff</w:t>
      </w:r>
      <w:r w:rsidRPr="00920A2F">
        <w:rPr>
          <w:szCs w:val="22"/>
        </w:rPr>
        <w:t xml:space="preserve">, </w:t>
      </w:r>
      <w:r w:rsidRPr="00920A2F">
        <w:rPr>
          <w:smallCaps/>
          <w:szCs w:val="22"/>
        </w:rPr>
        <w:t>In Defense of Anarchism</w:t>
      </w:r>
      <w:r w:rsidRPr="00920A2F">
        <w:rPr>
          <w:szCs w:val="22"/>
        </w:rPr>
        <w:t xml:space="preserve"> 14-15 (Univ</w:t>
      </w:r>
      <w:r>
        <w:rPr>
          <w:szCs w:val="22"/>
        </w:rPr>
        <w:t>.</w:t>
      </w:r>
      <w:r w:rsidRPr="00920A2F">
        <w:rPr>
          <w:szCs w:val="22"/>
        </w:rPr>
        <w:t xml:space="preserve"> of California Press 1998) (arguing that there will be times when personal autonomy and political authority are fundamentally incompatible).</w:t>
      </w:r>
    </w:p>
  </w:footnote>
  <w:footnote w:id="29">
    <w:p w14:paraId="55965080" w14:textId="77777777" w:rsidR="00D8145D" w:rsidRPr="00920A2F" w:rsidRDefault="00D8145D">
      <w:pPr>
        <w:pStyle w:val="Notedebasdepage"/>
        <w:rPr>
          <w:szCs w:val="22"/>
        </w:rPr>
      </w:pPr>
      <w:r w:rsidRPr="00920A2F">
        <w:rPr>
          <w:rStyle w:val="Appelnotedebasdep"/>
          <w:szCs w:val="22"/>
        </w:rPr>
        <w:footnoteRef/>
      </w:r>
      <w:r w:rsidRPr="00920A2F">
        <w:rPr>
          <w:szCs w:val="22"/>
        </w:rPr>
        <w:t xml:space="preserve"> </w:t>
      </w:r>
      <w:r w:rsidRPr="00920A2F">
        <w:rPr>
          <w:i/>
          <w:szCs w:val="22"/>
        </w:rPr>
        <w:t>See</w:t>
      </w:r>
      <w:r w:rsidRPr="00920A2F">
        <w:rPr>
          <w:szCs w:val="22"/>
        </w:rPr>
        <w:t xml:space="preserve"> </w:t>
      </w:r>
      <w:r w:rsidRPr="00920A2F">
        <w:rPr>
          <w:smallCaps/>
          <w:szCs w:val="22"/>
        </w:rPr>
        <w:t>Greene</w:t>
      </w:r>
      <w:r w:rsidRPr="00920A2F">
        <w:rPr>
          <w:szCs w:val="22"/>
        </w:rPr>
        <w:t xml:space="preserve">, </w:t>
      </w:r>
      <w:r w:rsidRPr="00920A2F">
        <w:rPr>
          <w:i/>
          <w:szCs w:val="22"/>
        </w:rPr>
        <w:t>supra</w:t>
      </w:r>
      <w:r w:rsidRPr="00920A2F">
        <w:rPr>
          <w:szCs w:val="22"/>
        </w:rPr>
        <w:t xml:space="preserve"> note </w:t>
      </w:r>
      <w:r>
        <w:fldChar w:fldCharType="begin"/>
      </w:r>
      <w:r>
        <w:instrText xml:space="preserve"> NOTEREF _Ref348425583 \h  \* MERGEFORMAT </w:instrText>
      </w:r>
      <w:r>
        <w:fldChar w:fldCharType="separate"/>
      </w:r>
      <w:r w:rsidRPr="0062121D">
        <w:rPr>
          <w:szCs w:val="22"/>
        </w:rPr>
        <w:t>34</w:t>
      </w:r>
      <w:r>
        <w:fldChar w:fldCharType="end"/>
      </w:r>
      <w:r w:rsidRPr="00920A2F">
        <w:rPr>
          <w:szCs w:val="22"/>
        </w:rPr>
        <w:t>, at 102.</w:t>
      </w:r>
    </w:p>
  </w:footnote>
  <w:footnote w:id="30">
    <w:p w14:paraId="029B315F" w14:textId="77777777" w:rsidR="00D8145D" w:rsidRPr="00920A2F" w:rsidRDefault="00D8145D" w:rsidP="008A4841">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Louis Michael Seidman,</w:t>
      </w:r>
      <w:r w:rsidRPr="00920A2F">
        <w:rPr>
          <w:szCs w:val="22"/>
        </w:rPr>
        <w:t xml:space="preserve"> </w:t>
      </w:r>
      <w:r w:rsidRPr="00920A2F">
        <w:rPr>
          <w:smallCaps/>
          <w:szCs w:val="22"/>
        </w:rPr>
        <w:t>Our Unsettled Constitution:  A New Defense of Constitutionalism and Judicial Review</w:t>
      </w:r>
      <w:r w:rsidRPr="00920A2F">
        <w:rPr>
          <w:szCs w:val="22"/>
        </w:rPr>
        <w:t xml:space="preserve"> 56 (Yale Univ</w:t>
      </w:r>
      <w:r>
        <w:rPr>
          <w:szCs w:val="22"/>
        </w:rPr>
        <w:t>.</w:t>
      </w:r>
      <w:r w:rsidRPr="00920A2F">
        <w:rPr>
          <w:szCs w:val="22"/>
        </w:rPr>
        <w:t xml:space="preserve"> Press 2001).</w:t>
      </w:r>
    </w:p>
  </w:footnote>
  <w:footnote w:id="31">
    <w:p w14:paraId="16C1A816" w14:textId="77777777" w:rsidR="00D8145D" w:rsidRPr="00920A2F" w:rsidRDefault="00D8145D">
      <w:pPr>
        <w:pStyle w:val="Notedebasdepage"/>
        <w:rPr>
          <w:rFonts w:cs="Times New Roman"/>
          <w:szCs w:val="22"/>
        </w:rPr>
      </w:pPr>
      <w:r w:rsidRPr="00920A2F">
        <w:rPr>
          <w:rStyle w:val="Appelnotedebasdep"/>
          <w:rFonts w:cs="Times New Roman"/>
          <w:szCs w:val="22"/>
        </w:rPr>
        <w:footnoteRef/>
      </w:r>
      <w:r w:rsidRPr="00920A2F">
        <w:rPr>
          <w:rFonts w:cs="Times New Roman"/>
          <w:szCs w:val="22"/>
        </w:rPr>
        <w:t xml:space="preserve"> The history of nullification surrounding the Fugitive Slave Act in the North offers a positive counterpoint to this negative memory.  </w:t>
      </w:r>
      <w:r w:rsidRPr="00920A2F">
        <w:rPr>
          <w:rFonts w:cs="Times New Roman"/>
          <w:i/>
          <w:szCs w:val="22"/>
        </w:rPr>
        <w:t>See</w:t>
      </w:r>
      <w:r w:rsidRPr="00920A2F">
        <w:rPr>
          <w:rFonts w:cs="Times New Roman"/>
          <w:szCs w:val="22"/>
        </w:rPr>
        <w:t xml:space="preserve"> Foreman, </w:t>
      </w:r>
      <w:r w:rsidRPr="00920A2F">
        <w:rPr>
          <w:rFonts w:cs="Times New Roman"/>
          <w:i/>
          <w:szCs w:val="22"/>
        </w:rPr>
        <w:t>supra</w:t>
      </w:r>
      <w:r w:rsidRPr="00920A2F">
        <w:rPr>
          <w:rFonts w:cs="Times New Roman"/>
          <w:szCs w:val="22"/>
        </w:rPr>
        <w:t xml:space="preserve"> note </w:t>
      </w:r>
      <w:r>
        <w:fldChar w:fldCharType="begin"/>
      </w:r>
      <w:r>
        <w:instrText xml:space="preserve"> NOTEREF _Ref348463045 \h  \* MERGEFORMAT </w:instrText>
      </w:r>
      <w:r>
        <w:fldChar w:fldCharType="separate"/>
      </w:r>
      <w:r w:rsidRPr="0062121D">
        <w:rPr>
          <w:rFonts w:cs="Times New Roman"/>
          <w:szCs w:val="22"/>
        </w:rPr>
        <w:t>40</w:t>
      </w:r>
      <w:r>
        <w:fldChar w:fldCharType="end"/>
      </w:r>
      <w:r w:rsidRPr="00920A2F">
        <w:rPr>
          <w:rFonts w:cs="Times New Roman"/>
          <w:szCs w:val="22"/>
        </w:rPr>
        <w:t>, at 899-901.</w:t>
      </w:r>
    </w:p>
  </w:footnote>
  <w:footnote w:id="32">
    <w:p w14:paraId="1E5A0BAB" w14:textId="77777777" w:rsidR="00D8145D" w:rsidRPr="00920A2F" w:rsidRDefault="00D8145D" w:rsidP="007B0E28">
      <w:pPr>
        <w:pStyle w:val="Notedebasdepage"/>
        <w:rPr>
          <w:rFonts w:cs="Times New Roman"/>
          <w:szCs w:val="22"/>
        </w:rPr>
      </w:pPr>
      <w:r w:rsidRPr="00920A2F">
        <w:rPr>
          <w:rStyle w:val="Appelnotedebasdep"/>
          <w:rFonts w:cs="Times New Roman"/>
          <w:szCs w:val="22"/>
        </w:rPr>
        <w:footnoteRef/>
      </w:r>
      <w:r w:rsidRPr="00920A2F">
        <w:rPr>
          <w:rFonts w:cs="Times New Roman"/>
          <w:szCs w:val="22"/>
        </w:rPr>
        <w:t xml:space="preserve"> </w:t>
      </w:r>
      <w:r>
        <w:rPr>
          <w:rFonts w:cs="Times New Roman"/>
          <w:szCs w:val="22"/>
        </w:rPr>
        <w:t xml:space="preserve">Solum, </w:t>
      </w:r>
      <w:r>
        <w:rPr>
          <w:rFonts w:cs="Times New Roman"/>
          <w:i/>
          <w:szCs w:val="22"/>
        </w:rPr>
        <w:t xml:space="preserve">supra </w:t>
      </w:r>
      <w:r>
        <w:rPr>
          <w:rFonts w:cs="Times New Roman"/>
          <w:szCs w:val="22"/>
        </w:rPr>
        <w:t xml:space="preserve">note </w:t>
      </w:r>
      <w:r>
        <w:rPr>
          <w:rFonts w:cs="Times New Roman"/>
          <w:szCs w:val="22"/>
        </w:rPr>
        <w:fldChar w:fldCharType="begin"/>
      </w:r>
      <w:r>
        <w:rPr>
          <w:rFonts w:cs="Times New Roman"/>
          <w:szCs w:val="22"/>
        </w:rPr>
        <w:instrText xml:space="preserve"> NOTEREF _Ref364930258 \h </w:instrText>
      </w:r>
      <w:r>
        <w:rPr>
          <w:rFonts w:cs="Times New Roman"/>
          <w:szCs w:val="22"/>
        </w:rPr>
      </w:r>
      <w:r>
        <w:rPr>
          <w:rFonts w:cs="Times New Roman"/>
          <w:szCs w:val="22"/>
        </w:rPr>
        <w:fldChar w:fldCharType="separate"/>
      </w:r>
      <w:r>
        <w:rPr>
          <w:rFonts w:cs="Times New Roman"/>
          <w:szCs w:val="22"/>
        </w:rPr>
        <w:t>6</w:t>
      </w:r>
      <w:r>
        <w:rPr>
          <w:rFonts w:cs="Times New Roman"/>
          <w:szCs w:val="22"/>
        </w:rPr>
        <w:fldChar w:fldCharType="end"/>
      </w:r>
      <w:r>
        <w:rPr>
          <w:rFonts w:cs="Times New Roman"/>
          <w:szCs w:val="22"/>
        </w:rPr>
        <w:t xml:space="preserve">; </w:t>
      </w:r>
      <w:r w:rsidRPr="00920A2F">
        <w:rPr>
          <w:rFonts w:cs="Times New Roman"/>
          <w:szCs w:val="22"/>
        </w:rPr>
        <w:t xml:space="preserve">Anne Bowen Pouline, </w:t>
      </w:r>
      <w:r w:rsidRPr="00920A2F">
        <w:rPr>
          <w:rFonts w:cs="Times New Roman"/>
          <w:i/>
          <w:szCs w:val="22"/>
        </w:rPr>
        <w:t>The Jury: The Criminal Justice System’s Different Voice</w:t>
      </w:r>
      <w:r w:rsidRPr="00920A2F">
        <w:rPr>
          <w:rFonts w:cs="Times New Roman"/>
          <w:szCs w:val="22"/>
        </w:rPr>
        <w:t xml:space="preserve">, 62 </w:t>
      </w:r>
      <w:r w:rsidRPr="00920A2F">
        <w:rPr>
          <w:rFonts w:cs="Times New Roman"/>
          <w:smallCaps/>
          <w:szCs w:val="22"/>
        </w:rPr>
        <w:t>U. Cin. L. Rev.</w:t>
      </w:r>
      <w:r w:rsidRPr="00920A2F">
        <w:rPr>
          <w:rFonts w:cs="Times New Roman"/>
          <w:szCs w:val="22"/>
        </w:rPr>
        <w:t xml:space="preserve"> 1377, 1380, 1383 (1994) (noting “[t]o achieve one of law’s ends – justice – we must sometimes abandon law’s means, such as rule application”).</w:t>
      </w:r>
    </w:p>
  </w:footnote>
  <w:footnote w:id="33">
    <w:p w14:paraId="7F7E6806" w14:textId="77777777" w:rsidR="00D8145D" w:rsidRPr="00920A2F" w:rsidRDefault="00D8145D" w:rsidP="007B0E28">
      <w:pPr>
        <w:pStyle w:val="Notedebasdepage"/>
        <w:rPr>
          <w:rFonts w:cs="Times New Roman"/>
          <w:szCs w:val="22"/>
        </w:rPr>
      </w:pPr>
      <w:r w:rsidRPr="00920A2F">
        <w:rPr>
          <w:rStyle w:val="Appelnotedebasdep"/>
          <w:rFonts w:cs="Times New Roman"/>
          <w:szCs w:val="22"/>
        </w:rPr>
        <w:footnoteRef/>
      </w:r>
      <w:r w:rsidRPr="00920A2F">
        <w:rPr>
          <w:rFonts w:cs="Times New Roman"/>
          <w:i/>
          <w:szCs w:val="22"/>
        </w:rPr>
        <w:t xml:space="preserve"> See </w:t>
      </w:r>
      <w:r w:rsidRPr="00920A2F">
        <w:rPr>
          <w:rFonts w:cs="Times New Roman"/>
          <w:szCs w:val="22"/>
        </w:rPr>
        <w:t xml:space="preserve">Heather Gerken, </w:t>
      </w:r>
      <w:r w:rsidRPr="00920A2F">
        <w:rPr>
          <w:rFonts w:cs="Times New Roman"/>
          <w:i/>
          <w:szCs w:val="22"/>
        </w:rPr>
        <w:t>Foreword:  Federalism All the Way Down</w:t>
      </w:r>
      <w:r w:rsidRPr="00920A2F">
        <w:rPr>
          <w:rFonts w:cs="Times New Roman"/>
          <w:szCs w:val="22"/>
        </w:rPr>
        <w:t xml:space="preserve">, 124 </w:t>
      </w:r>
      <w:r w:rsidRPr="00920A2F">
        <w:rPr>
          <w:rFonts w:cs="Times New Roman"/>
          <w:smallCaps/>
          <w:szCs w:val="22"/>
        </w:rPr>
        <w:t>Harv. L. Rev.</w:t>
      </w:r>
      <w:r w:rsidRPr="00920A2F">
        <w:rPr>
          <w:rFonts w:cs="Times New Roman"/>
          <w:szCs w:val="22"/>
        </w:rPr>
        <w:t xml:space="preserve"> 4, 9 (2010).</w:t>
      </w:r>
    </w:p>
  </w:footnote>
  <w:footnote w:id="34">
    <w:p w14:paraId="2F69A445" w14:textId="77777777" w:rsidR="00D8145D" w:rsidRPr="00920A2F" w:rsidRDefault="00D8145D" w:rsidP="00993C50">
      <w:pPr>
        <w:pStyle w:val="Notedebasdepage"/>
        <w:rPr>
          <w:szCs w:val="22"/>
        </w:rPr>
      </w:pPr>
      <w:r w:rsidRPr="00920A2F">
        <w:rPr>
          <w:rStyle w:val="Appelnotedebasdep"/>
          <w:szCs w:val="22"/>
        </w:rPr>
        <w:footnoteRef/>
      </w:r>
      <w:r w:rsidRPr="00920A2F">
        <w:rPr>
          <w:szCs w:val="22"/>
        </w:rPr>
        <w:t xml:space="preserve"> </w:t>
      </w:r>
      <w:r w:rsidRPr="00920A2F">
        <w:rPr>
          <w:i/>
          <w:szCs w:val="22"/>
        </w:rPr>
        <w:t>See</w:t>
      </w:r>
      <w:r w:rsidRPr="00920A2F">
        <w:rPr>
          <w:szCs w:val="22"/>
        </w:rPr>
        <w:t xml:space="preserve"> </w:t>
      </w:r>
      <w:r w:rsidRPr="00920A2F">
        <w:rPr>
          <w:i/>
          <w:szCs w:val="22"/>
        </w:rPr>
        <w:t>United States v. Dougherty</w:t>
      </w:r>
      <w:r w:rsidRPr="00920A2F">
        <w:rPr>
          <w:szCs w:val="22"/>
        </w:rPr>
        <w:t>, 473 F.2d 1113, 1143 (D.C. Cir. 1972) (Bazelon, C.J., concurring in part and dissenting in part)(footnote omitted) (noting that part of the power of nullification is to serve as a locus for attention in moments when the application of the law in a community is inconsistent with either stated government policy, or the sentiment of the larger state or national communities).</w:t>
      </w:r>
    </w:p>
  </w:footnote>
  <w:footnote w:id="35">
    <w:p w14:paraId="24EC5223" w14:textId="77777777" w:rsidR="00D8145D" w:rsidRPr="00920A2F" w:rsidRDefault="00D8145D">
      <w:pPr>
        <w:pStyle w:val="Notedebasdepage"/>
        <w:rPr>
          <w:szCs w:val="22"/>
        </w:rPr>
      </w:pPr>
      <w:r w:rsidRPr="00920A2F">
        <w:rPr>
          <w:rStyle w:val="Appelnotedebasdep"/>
          <w:szCs w:val="22"/>
        </w:rPr>
        <w:footnoteRef/>
      </w:r>
      <w:r>
        <w:rPr>
          <w:szCs w:val="22"/>
        </w:rPr>
        <w:t xml:space="preserve"> </w:t>
      </w:r>
      <w:r w:rsidRPr="00920A2F">
        <w:rPr>
          <w:i/>
          <w:szCs w:val="22"/>
        </w:rPr>
        <w:t xml:space="preserve">See </w:t>
      </w:r>
      <w:r w:rsidRPr="00920A2F">
        <w:rPr>
          <w:smallCaps/>
          <w:szCs w:val="22"/>
        </w:rPr>
        <w:t>Greene</w:t>
      </w:r>
      <w:r w:rsidRPr="00920A2F">
        <w:rPr>
          <w:szCs w:val="22"/>
        </w:rPr>
        <w:t xml:space="preserve">, </w:t>
      </w:r>
      <w:r w:rsidRPr="00920A2F">
        <w:rPr>
          <w:i/>
          <w:szCs w:val="22"/>
        </w:rPr>
        <w:t xml:space="preserve">supra </w:t>
      </w:r>
      <w:r w:rsidRPr="00920A2F">
        <w:rPr>
          <w:szCs w:val="22"/>
        </w:rPr>
        <w:t xml:space="preserve">note </w:t>
      </w:r>
      <w:r>
        <w:fldChar w:fldCharType="begin"/>
      </w:r>
      <w:r>
        <w:instrText xml:space="preserve"> NOTEREF _Ref348425583 \h  \* MERGEFORMAT </w:instrText>
      </w:r>
      <w:r>
        <w:fldChar w:fldCharType="separate"/>
      </w:r>
      <w:r w:rsidRPr="0062121D">
        <w:rPr>
          <w:szCs w:val="22"/>
        </w:rPr>
        <w:t>34</w:t>
      </w:r>
      <w:r>
        <w:fldChar w:fldCharType="end"/>
      </w:r>
      <w:r w:rsidRPr="00920A2F">
        <w:rPr>
          <w:szCs w:val="22"/>
        </w:rPr>
        <w:t>, at 47 (noting that formal government offers little opportunity for direct citizen voice outside of casting a ballot).</w:t>
      </w:r>
    </w:p>
  </w:footnote>
  <w:footnote w:id="36">
    <w:p w14:paraId="1917E22F" w14:textId="77777777" w:rsidR="00D8145D" w:rsidRPr="00920A2F" w:rsidRDefault="00D8145D">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John Rawls, Political Liberalism</w:t>
      </w:r>
      <w:r w:rsidRPr="00920A2F">
        <w:rPr>
          <w:szCs w:val="22"/>
        </w:rPr>
        <w:t xml:space="preserve"> xviii-xix; 54-58 (Columbia Univ</w:t>
      </w:r>
      <w:r>
        <w:rPr>
          <w:szCs w:val="22"/>
        </w:rPr>
        <w:t>.</w:t>
      </w:r>
      <w:r w:rsidRPr="00920A2F">
        <w:rPr>
          <w:szCs w:val="22"/>
        </w:rPr>
        <w:t xml:space="preserve"> Press 1993) (arguing that mutual concepts of justice mandate obedience to laws, even if the moral basis for the law may diverge from the citizen’s own sense of morality); </w:t>
      </w:r>
      <w:r w:rsidRPr="00920A2F">
        <w:rPr>
          <w:smallCaps/>
          <w:szCs w:val="22"/>
        </w:rPr>
        <w:t xml:space="preserve">Rawls, </w:t>
      </w:r>
      <w:r w:rsidRPr="00920A2F">
        <w:rPr>
          <w:i/>
          <w:szCs w:val="22"/>
        </w:rPr>
        <w:t>supra</w:t>
      </w:r>
      <w:r w:rsidRPr="00920A2F">
        <w:rPr>
          <w:szCs w:val="22"/>
        </w:rPr>
        <w:t xml:space="preserve"> note </w:t>
      </w:r>
      <w:r>
        <w:fldChar w:fldCharType="begin"/>
      </w:r>
      <w:r>
        <w:instrText xml:space="preserve"> NOTEREF _Ref340174998 \h  \* MERGEFORMAT </w:instrText>
      </w:r>
      <w:r>
        <w:fldChar w:fldCharType="separate"/>
      </w:r>
      <w:r>
        <w:t>1</w:t>
      </w:r>
      <w:r>
        <w:fldChar w:fldCharType="end"/>
      </w:r>
      <w:r>
        <w:rPr>
          <w:szCs w:val="22"/>
        </w:rPr>
        <w:t>,</w:t>
      </w:r>
      <w:r w:rsidRPr="00920A2F">
        <w:rPr>
          <w:szCs w:val="22"/>
        </w:rPr>
        <w:t xml:space="preserve"> at 115, 344, 351, 354-55 (contending that if a state meets the minimum requirements of legitimacy then the citizen has a moral duty of obedience to the institution including a duty to obey laws, even if the citizen fids such laws unjust).  Ronald Dworkin would reach a similar conclusion, but for different reasons.  </w:t>
      </w:r>
      <w:r w:rsidRPr="00920A2F">
        <w:rPr>
          <w:i/>
          <w:szCs w:val="22"/>
        </w:rPr>
        <w:t xml:space="preserve">See </w:t>
      </w:r>
      <w:r w:rsidRPr="00920A2F">
        <w:rPr>
          <w:smallCaps/>
          <w:szCs w:val="22"/>
        </w:rPr>
        <w:t>Dworkin</w:t>
      </w:r>
      <w:r w:rsidRPr="00920A2F">
        <w:rPr>
          <w:szCs w:val="22"/>
        </w:rPr>
        <w:t xml:space="preserve">, </w:t>
      </w:r>
      <w:r w:rsidRPr="00920A2F">
        <w:rPr>
          <w:i/>
          <w:szCs w:val="22"/>
        </w:rPr>
        <w:t>supra</w:t>
      </w:r>
      <w:r w:rsidRPr="00920A2F">
        <w:rPr>
          <w:szCs w:val="22"/>
        </w:rPr>
        <w:t xml:space="preserve"> note </w:t>
      </w:r>
      <w:r>
        <w:fldChar w:fldCharType="begin"/>
      </w:r>
      <w:r>
        <w:rPr>
          <w:szCs w:val="22"/>
        </w:rPr>
        <w:instrText xml:space="preserve"> NOTEREF _Ref349381390 \h </w:instrText>
      </w:r>
      <w:r>
        <w:fldChar w:fldCharType="separate"/>
      </w:r>
      <w:r>
        <w:rPr>
          <w:szCs w:val="22"/>
        </w:rPr>
        <w:t>7</w:t>
      </w:r>
      <w:r>
        <w:fldChar w:fldCharType="end"/>
      </w:r>
      <w:r w:rsidRPr="00920A2F">
        <w:rPr>
          <w:szCs w:val="22"/>
        </w:rPr>
        <w:t>, at 166, 180 (stating that citizens owe a duty of obedience out of an associative obligation).</w:t>
      </w:r>
    </w:p>
  </w:footnote>
  <w:footnote w:id="37">
    <w:p w14:paraId="444CD3E8" w14:textId="77777777" w:rsidR="00D8145D" w:rsidRPr="00920A2F" w:rsidRDefault="00D8145D">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 xml:space="preserve">Greene, </w:t>
      </w:r>
      <w:r w:rsidRPr="00920A2F">
        <w:rPr>
          <w:i/>
          <w:szCs w:val="22"/>
        </w:rPr>
        <w:t>supra</w:t>
      </w:r>
      <w:r w:rsidRPr="00920A2F">
        <w:rPr>
          <w:szCs w:val="22"/>
        </w:rPr>
        <w:t xml:space="preserve"> note </w:t>
      </w:r>
      <w:r>
        <w:fldChar w:fldCharType="begin"/>
      </w:r>
      <w:r>
        <w:instrText xml:space="preserve"> NOTEREF _Ref348425583 \h  \* MERGEFORMAT </w:instrText>
      </w:r>
      <w:r>
        <w:fldChar w:fldCharType="separate"/>
      </w:r>
      <w:r w:rsidRPr="0062121D">
        <w:rPr>
          <w:szCs w:val="22"/>
        </w:rPr>
        <w:t>34</w:t>
      </w:r>
      <w:r>
        <w:fldChar w:fldCharType="end"/>
      </w:r>
      <w:r w:rsidRPr="00920A2F">
        <w:rPr>
          <w:szCs w:val="22"/>
        </w:rPr>
        <w:t>, at 1 (asking the question of why obedience to law requires competing norms including religious, familial or social values to be rendered subservient to those promoted by the state).</w:t>
      </w:r>
    </w:p>
  </w:footnote>
  <w:footnote w:id="38">
    <w:p w14:paraId="526A32E9" w14:textId="77777777" w:rsidR="00D8145D" w:rsidRPr="00920A2F" w:rsidRDefault="00D8145D">
      <w:pPr>
        <w:pStyle w:val="Notedebasdepage"/>
        <w:rPr>
          <w:rFonts w:cs="Times New Roman"/>
          <w:szCs w:val="22"/>
        </w:rPr>
      </w:pPr>
      <w:r w:rsidRPr="00920A2F">
        <w:rPr>
          <w:rStyle w:val="Appelnotedebasdep"/>
          <w:rFonts w:cs="Times New Roman"/>
          <w:szCs w:val="22"/>
        </w:rPr>
        <w:footnoteRef/>
      </w:r>
      <w:r w:rsidRPr="00920A2F">
        <w:rPr>
          <w:rFonts w:cs="Times New Roman"/>
          <w:szCs w:val="22"/>
        </w:rPr>
        <w:t xml:space="preserve"> Divergent perspectives presented as nullified verdicts can serve as catalyst for change, energizing a national response to local rule.  </w:t>
      </w:r>
      <w:r w:rsidRPr="00920A2F">
        <w:rPr>
          <w:i/>
          <w:szCs w:val="22"/>
        </w:rPr>
        <w:t>See</w:t>
      </w:r>
      <w:r w:rsidRPr="00920A2F">
        <w:rPr>
          <w:szCs w:val="22"/>
        </w:rPr>
        <w:t xml:space="preserve"> </w:t>
      </w:r>
      <w:r w:rsidRPr="00920A2F">
        <w:rPr>
          <w:smallCaps/>
          <w:szCs w:val="22"/>
        </w:rPr>
        <w:t>Encyclopedia of American Civil Liberties</w:t>
      </w:r>
      <w:r>
        <w:rPr>
          <w:smallCaps/>
          <w:szCs w:val="22"/>
        </w:rPr>
        <w:t xml:space="preserve">, </w:t>
      </w:r>
      <w:r>
        <w:rPr>
          <w:i/>
          <w:szCs w:val="22"/>
        </w:rPr>
        <w:t>supra</w:t>
      </w:r>
      <w:r>
        <w:rPr>
          <w:szCs w:val="22"/>
        </w:rPr>
        <w:t xml:space="preserve"> note, at</w:t>
      </w:r>
      <w:r w:rsidRPr="00920A2F">
        <w:rPr>
          <w:szCs w:val="22"/>
        </w:rPr>
        <w:t xml:space="preserve"> 869-70 (arguing that “consistent acquittals (by all white juries) in state criminal courts in the American South in the early 1960s”</w:t>
      </w:r>
      <w:r>
        <w:rPr>
          <w:szCs w:val="22"/>
        </w:rPr>
        <w:t xml:space="preserve"> helped fuel the Civil Rights movement</w:t>
      </w:r>
      <w:r w:rsidRPr="00920A2F">
        <w:rPr>
          <w:szCs w:val="22"/>
        </w:rPr>
        <w:t>).  While</w:t>
      </w:r>
      <w:r w:rsidRPr="00920A2F">
        <w:rPr>
          <w:rFonts w:cs="Times New Roman"/>
          <w:szCs w:val="22"/>
        </w:rPr>
        <w:t xml:space="preserve"> the nullified verdict may be devastating for those who counted on a particular application of the law, it carries far more force as a motivator towards some change, than any power it wields independently, on its own.  In this even nullified verdicts grounded in the prejudice of a community may serve as valuable witnesses to the oppressive power of that community.</w:t>
      </w:r>
    </w:p>
  </w:footnote>
  <w:footnote w:id="39">
    <w:p w14:paraId="4F30075C" w14:textId="77777777" w:rsidR="00D8145D" w:rsidRPr="00920A2F" w:rsidRDefault="00D8145D" w:rsidP="007B0E28">
      <w:pPr>
        <w:pStyle w:val="Notedebasdepage"/>
        <w:rPr>
          <w:rFonts w:cs="Times New Roman"/>
          <w:szCs w:val="22"/>
        </w:rPr>
      </w:pPr>
      <w:r w:rsidRPr="00920A2F">
        <w:rPr>
          <w:rStyle w:val="Appelnotedebasdep"/>
          <w:rFonts w:cs="Times New Roman"/>
          <w:szCs w:val="22"/>
        </w:rPr>
        <w:footnoteRef/>
      </w:r>
      <w:r w:rsidRPr="00920A2F">
        <w:rPr>
          <w:rFonts w:cs="Times New Roman"/>
          <w:i/>
          <w:szCs w:val="22"/>
        </w:rPr>
        <w:t xml:space="preserve"> See</w:t>
      </w:r>
      <w:r w:rsidRPr="00920A2F">
        <w:rPr>
          <w:rFonts w:cs="Times New Roman"/>
          <w:szCs w:val="22"/>
        </w:rPr>
        <w:t xml:space="preserve"> Gerken, </w:t>
      </w:r>
      <w:r w:rsidRPr="00920A2F">
        <w:rPr>
          <w:rFonts w:cs="Times New Roman"/>
          <w:i/>
          <w:szCs w:val="22"/>
        </w:rPr>
        <w:t>supra</w:t>
      </w:r>
      <w:r w:rsidRPr="00920A2F">
        <w:rPr>
          <w:rFonts w:cs="Times New Roman"/>
          <w:szCs w:val="22"/>
        </w:rPr>
        <w:t xml:space="preserve"> note </w:t>
      </w:r>
      <w:r>
        <w:fldChar w:fldCharType="begin"/>
      </w:r>
      <w:r>
        <w:instrText xml:space="preserve"> NOTEREF _Ref340073039 \h  \* MERGEFORMAT </w:instrText>
      </w:r>
      <w:r>
        <w:fldChar w:fldCharType="separate"/>
      </w:r>
      <w:r w:rsidRPr="0062121D">
        <w:rPr>
          <w:rFonts w:cs="Times New Roman"/>
          <w:szCs w:val="22"/>
        </w:rPr>
        <w:t>216</w:t>
      </w:r>
      <w:r>
        <w:fldChar w:fldCharType="end"/>
      </w:r>
      <w:r>
        <w:rPr>
          <w:rFonts w:cs="Times New Roman"/>
          <w:szCs w:val="22"/>
        </w:rPr>
        <w:t>,</w:t>
      </w:r>
      <w:r w:rsidRPr="00920A2F">
        <w:rPr>
          <w:rFonts w:cs="Times New Roman"/>
          <w:szCs w:val="22"/>
        </w:rPr>
        <w:t xml:space="preserve"> at 9 (noting that we should not ignore the role that divergent voices can play in a functioning democracy, forcing an integration of minority perspectives and “forcing integration rather than exit”).</w:t>
      </w:r>
    </w:p>
  </w:footnote>
  <w:footnote w:id="40">
    <w:p w14:paraId="009731C9" w14:textId="77777777" w:rsidR="00D8145D" w:rsidRPr="00920A2F" w:rsidRDefault="00D8145D" w:rsidP="007B0E28">
      <w:pPr>
        <w:pStyle w:val="Notedebasdepage"/>
        <w:rPr>
          <w:rFonts w:cs="Times New Roman"/>
          <w:szCs w:val="22"/>
        </w:rPr>
      </w:pPr>
      <w:r w:rsidRPr="00920A2F">
        <w:rPr>
          <w:rStyle w:val="Appelnotedebasdep"/>
          <w:rFonts w:cs="Times New Roman"/>
          <w:szCs w:val="22"/>
        </w:rPr>
        <w:footnoteRef/>
      </w:r>
      <w:r>
        <w:rPr>
          <w:rFonts w:cs="Times New Roman"/>
          <w:szCs w:val="22"/>
        </w:rPr>
        <w:t xml:space="preserve"> </w:t>
      </w:r>
      <w:r w:rsidRPr="00920A2F">
        <w:rPr>
          <w:rFonts w:cs="Times New Roman"/>
          <w:i/>
          <w:szCs w:val="22"/>
        </w:rPr>
        <w:t>Id.</w:t>
      </w:r>
      <w:r w:rsidRPr="00920A2F">
        <w:rPr>
          <w:rFonts w:cs="Times New Roman"/>
          <w:szCs w:val="22"/>
        </w:rPr>
        <w:t xml:space="preserve"> at 27.</w:t>
      </w:r>
    </w:p>
  </w:footnote>
  <w:footnote w:id="41">
    <w:p w14:paraId="435DABEF" w14:textId="77777777" w:rsidR="00D8145D" w:rsidRPr="00920A2F" w:rsidRDefault="00D8145D" w:rsidP="007B0E28">
      <w:pPr>
        <w:pStyle w:val="Notedebasdepage"/>
        <w:rPr>
          <w:rFonts w:cs="Times New Roman"/>
          <w:szCs w:val="22"/>
        </w:rPr>
      </w:pPr>
      <w:r w:rsidRPr="00920A2F">
        <w:rPr>
          <w:rStyle w:val="Appelnotedebasdep"/>
          <w:rFonts w:cs="Times New Roman"/>
          <w:szCs w:val="22"/>
        </w:rPr>
        <w:footnoteRef/>
      </w:r>
      <w:r w:rsidRPr="00920A2F">
        <w:rPr>
          <w:rFonts w:cs="Times New Roman"/>
          <w:szCs w:val="22"/>
        </w:rPr>
        <w:t xml:space="preserve"> Bowen, </w:t>
      </w:r>
      <w:r w:rsidRPr="00920A2F">
        <w:rPr>
          <w:rFonts w:cs="Times New Roman"/>
          <w:i/>
          <w:szCs w:val="22"/>
        </w:rPr>
        <w:t>supra</w:t>
      </w:r>
      <w:r w:rsidRPr="00920A2F">
        <w:rPr>
          <w:rFonts w:cs="Times New Roman"/>
          <w:szCs w:val="22"/>
        </w:rPr>
        <w:t xml:space="preserve"> note </w:t>
      </w:r>
      <w:r>
        <w:fldChar w:fldCharType="begin"/>
      </w:r>
      <w:r>
        <w:instrText xml:space="preserve"> NOTEREF _Ref340236625 \h  \* MERGEFORMAT </w:instrText>
      </w:r>
      <w:r>
        <w:fldChar w:fldCharType="separate"/>
      </w:r>
      <w:r w:rsidRPr="0062121D">
        <w:rPr>
          <w:rFonts w:cs="Times New Roman"/>
          <w:szCs w:val="22"/>
        </w:rPr>
        <w:t>215</w:t>
      </w:r>
      <w:r>
        <w:fldChar w:fldCharType="end"/>
      </w:r>
      <w:r w:rsidRPr="00920A2F">
        <w:rPr>
          <w:rFonts w:cs="Times New Roman"/>
          <w:szCs w:val="22"/>
        </w:rPr>
        <w:t>, at 1383.</w:t>
      </w:r>
    </w:p>
  </w:footnote>
  <w:footnote w:id="42">
    <w:p w14:paraId="7B99C757" w14:textId="77777777" w:rsidR="00D8145D" w:rsidRPr="00920A2F" w:rsidRDefault="00D8145D">
      <w:pPr>
        <w:pStyle w:val="Notedebasdepage"/>
        <w:rPr>
          <w:szCs w:val="22"/>
        </w:rPr>
      </w:pPr>
      <w:r w:rsidRPr="00920A2F">
        <w:rPr>
          <w:rStyle w:val="Appelnotedebasdep"/>
          <w:szCs w:val="22"/>
        </w:rPr>
        <w:footnoteRef/>
      </w:r>
      <w:r w:rsidRPr="00920A2F">
        <w:rPr>
          <w:szCs w:val="22"/>
        </w:rPr>
        <w:t xml:space="preserve"> </w:t>
      </w:r>
      <w:r w:rsidRPr="00920A2F">
        <w:rPr>
          <w:smallCaps/>
          <w:szCs w:val="22"/>
        </w:rPr>
        <w:t>Greene</w:t>
      </w:r>
      <w:r w:rsidRPr="00920A2F">
        <w:rPr>
          <w:szCs w:val="22"/>
        </w:rPr>
        <w:t xml:space="preserve">, </w:t>
      </w:r>
      <w:r w:rsidRPr="00920A2F">
        <w:rPr>
          <w:i/>
          <w:szCs w:val="22"/>
        </w:rPr>
        <w:t xml:space="preserve">supra </w:t>
      </w:r>
      <w:r w:rsidRPr="00920A2F">
        <w:rPr>
          <w:szCs w:val="22"/>
        </w:rPr>
        <w:t>note</w:t>
      </w:r>
      <w:r>
        <w:rPr>
          <w:szCs w:val="22"/>
        </w:rPr>
        <w:t xml:space="preserve"> </w:t>
      </w:r>
      <w:r>
        <w:fldChar w:fldCharType="begin"/>
      </w:r>
      <w:r>
        <w:instrText xml:space="preserve"> NOTEREF _Ref348425583 \h  \* MERGEFORMAT </w:instrText>
      </w:r>
      <w:r>
        <w:fldChar w:fldCharType="separate"/>
      </w:r>
      <w:r w:rsidRPr="0062121D">
        <w:rPr>
          <w:szCs w:val="22"/>
        </w:rPr>
        <w:t>34</w:t>
      </w:r>
      <w:r>
        <w:fldChar w:fldCharType="end"/>
      </w:r>
      <w:r w:rsidRPr="00920A2F">
        <w:rPr>
          <w:szCs w:val="22"/>
        </w:rPr>
        <w:t>, at 103 (noting that the Founders not only created multiple branches of government, but forced those branches to compete for the citizen’s allegiance thereby installing a constant reminder that the citizen, not the government, is the ultimate source of power within the democracy).</w:t>
      </w:r>
    </w:p>
  </w:footnote>
  <w:footnote w:id="43">
    <w:p w14:paraId="55813FE7" w14:textId="77777777" w:rsidR="00D8145D" w:rsidRDefault="00D8145D">
      <w:pPr>
        <w:pStyle w:val="Notedebasdepage"/>
      </w:pPr>
      <w:r>
        <w:rPr>
          <w:rStyle w:val="Appelnotedebasdep"/>
        </w:rPr>
        <w:footnoteRef/>
      </w:r>
      <w:r>
        <w:t xml:space="preserve"> In order to nullify a verdict, jurors must reach a consensus to nullify.  Absent this consensus a juror can certainly cause a hung trial, but cannot nullify.</w:t>
      </w:r>
    </w:p>
  </w:footnote>
  <w:footnote w:id="44">
    <w:p w14:paraId="5A7D5EF4" w14:textId="77777777" w:rsidR="00D8145D" w:rsidRPr="00C422AB" w:rsidRDefault="00D8145D">
      <w:pPr>
        <w:pStyle w:val="Notedebasdepage"/>
      </w:pPr>
      <w:r>
        <w:rPr>
          <w:rStyle w:val="Appelnotedebasdep"/>
        </w:rPr>
        <w:footnoteRef/>
      </w:r>
      <w:r>
        <w:t xml:space="preserve"> </w:t>
      </w:r>
      <w:r>
        <w:rPr>
          <w:i/>
        </w:rPr>
        <w:t>See</w:t>
      </w:r>
      <w:r>
        <w:t xml:space="preserve"> David Austen-Smith and Jeffrey S. Banks, </w:t>
      </w:r>
      <w:r>
        <w:rPr>
          <w:i/>
        </w:rPr>
        <w:t>Informaiton Aggregation, Rationality, and the Condorcet Jury Theorem</w:t>
      </w:r>
      <w:r>
        <w:t xml:space="preserve">, 90 </w:t>
      </w:r>
      <w:r w:rsidRPr="00C422AB">
        <w:rPr>
          <w:smallCaps/>
        </w:rPr>
        <w:t>American Political Science Review</w:t>
      </w:r>
      <w:r>
        <w:t xml:space="preserve"> 34 (1996).</w:t>
      </w:r>
    </w:p>
  </w:footnote>
  <w:footnote w:id="45">
    <w:p w14:paraId="49A8B865" w14:textId="77777777" w:rsidR="00D8145D" w:rsidRPr="00920A2F" w:rsidRDefault="00D8145D">
      <w:pPr>
        <w:pStyle w:val="Notedebasdepage"/>
        <w:rPr>
          <w:szCs w:val="22"/>
        </w:rPr>
      </w:pPr>
      <w:r w:rsidRPr="00920A2F">
        <w:rPr>
          <w:rStyle w:val="Appelnotedebasdep"/>
          <w:szCs w:val="22"/>
        </w:rPr>
        <w:footnoteRef/>
      </w:r>
      <w:r w:rsidRPr="00920A2F">
        <w:rPr>
          <w:szCs w:val="22"/>
        </w:rPr>
        <w:t xml:space="preserve"> The Court, in defining the role of the jury has again and again stressed that one function of the jury is to guard against government oppression and to reject law which if unjust in its construction of application.  </w:t>
      </w:r>
      <w:r w:rsidRPr="00920A2F">
        <w:rPr>
          <w:i/>
          <w:szCs w:val="22"/>
        </w:rPr>
        <w:t xml:space="preserve">See </w:t>
      </w:r>
      <w:r w:rsidRPr="00B2775C">
        <w:rPr>
          <w:rFonts w:cs="Times New Roman"/>
          <w:i/>
          <w:szCs w:val="22"/>
        </w:rPr>
        <w:t>Ice</w:t>
      </w:r>
      <w:r w:rsidRPr="00920A2F">
        <w:rPr>
          <w:rFonts w:cs="Times New Roman"/>
          <w:szCs w:val="22"/>
        </w:rPr>
        <w:t xml:space="preserve">, 555 U.S. </w:t>
      </w:r>
      <w:r>
        <w:rPr>
          <w:rFonts w:cs="Times New Roman"/>
          <w:szCs w:val="22"/>
        </w:rPr>
        <w:t>at</w:t>
      </w:r>
      <w:r w:rsidRPr="00920A2F">
        <w:rPr>
          <w:rFonts w:cs="Times New Roman"/>
          <w:szCs w:val="22"/>
        </w:rPr>
        <w:t xml:space="preserve"> 167-68; </w:t>
      </w:r>
      <w:r w:rsidRPr="00B2775C">
        <w:rPr>
          <w:rFonts w:cs="Times New Roman"/>
          <w:i/>
          <w:szCs w:val="22"/>
        </w:rPr>
        <w:t>Blakely</w:t>
      </w:r>
      <w:r w:rsidRPr="00920A2F">
        <w:rPr>
          <w:rFonts w:cs="Times New Roman"/>
          <w:szCs w:val="22"/>
        </w:rPr>
        <w:t xml:space="preserve">, 542 U.S. </w:t>
      </w:r>
      <w:r>
        <w:rPr>
          <w:rFonts w:cs="Times New Roman"/>
          <w:szCs w:val="22"/>
        </w:rPr>
        <w:t>at 306;</w:t>
      </w:r>
      <w:r w:rsidRPr="00920A2F">
        <w:rPr>
          <w:rFonts w:cs="Times New Roman"/>
          <w:szCs w:val="22"/>
        </w:rPr>
        <w:t xml:space="preserve"> </w:t>
      </w:r>
      <w:r w:rsidRPr="00B2775C">
        <w:rPr>
          <w:rFonts w:cs="Times New Roman"/>
          <w:i/>
          <w:szCs w:val="22"/>
        </w:rPr>
        <w:t>Apprendi</w:t>
      </w:r>
      <w:r w:rsidRPr="00920A2F">
        <w:rPr>
          <w:rFonts w:cs="Times New Roman"/>
          <w:szCs w:val="22"/>
        </w:rPr>
        <w:t>, 530 U.S.</w:t>
      </w:r>
      <w:r>
        <w:rPr>
          <w:rFonts w:cs="Times New Roman"/>
          <w:szCs w:val="22"/>
        </w:rPr>
        <w:t xml:space="preserve"> at</w:t>
      </w:r>
      <w:r w:rsidRPr="00920A2F">
        <w:rPr>
          <w:rFonts w:cs="Times New Roman"/>
          <w:szCs w:val="22"/>
        </w:rPr>
        <w:t xml:space="preserve"> </w:t>
      </w:r>
      <w:r>
        <w:rPr>
          <w:rFonts w:cs="Times New Roman"/>
          <w:szCs w:val="22"/>
        </w:rPr>
        <w:t>476-85</w:t>
      </w:r>
      <w:r>
        <w:rPr>
          <w:szCs w:val="22"/>
        </w:rPr>
        <w:t xml:space="preserve">; </w:t>
      </w:r>
      <w:r w:rsidRPr="00B2775C">
        <w:rPr>
          <w:i/>
          <w:szCs w:val="22"/>
        </w:rPr>
        <w:t>Duncan</w:t>
      </w:r>
      <w:r w:rsidRPr="00920A2F">
        <w:rPr>
          <w:szCs w:val="22"/>
        </w:rPr>
        <w:t xml:space="preserve">, 391 U.S. </w:t>
      </w:r>
      <w:r>
        <w:rPr>
          <w:szCs w:val="22"/>
        </w:rPr>
        <w:t>at</w:t>
      </w:r>
      <w:r w:rsidRPr="00920A2F">
        <w:rPr>
          <w:szCs w:val="22"/>
        </w:rPr>
        <w:t xml:space="preserve"> 156-57; </w:t>
      </w:r>
      <w:r w:rsidRPr="00B2775C">
        <w:rPr>
          <w:i/>
          <w:szCs w:val="22"/>
        </w:rPr>
        <w:t>Taylor</w:t>
      </w:r>
      <w:r w:rsidRPr="00920A2F">
        <w:rPr>
          <w:szCs w:val="22"/>
        </w:rPr>
        <w:t xml:space="preserve">, 419 U.S. </w:t>
      </w:r>
      <w:r>
        <w:rPr>
          <w:szCs w:val="22"/>
        </w:rPr>
        <w:t>at 530</w:t>
      </w:r>
      <w:r w:rsidRPr="00920A2F">
        <w:rPr>
          <w:szCs w:val="22"/>
        </w:rPr>
        <w:t>; Johnson v. Louisiana, 406 U.S. 356, 373 (1972); Williams v. Florida, 406 U.S. 78, 87 (1970).</w:t>
      </w:r>
    </w:p>
  </w:footnote>
  <w:footnote w:id="46">
    <w:p w14:paraId="68B6E743" w14:textId="77777777" w:rsidR="00D8145D" w:rsidRPr="00920A2F" w:rsidRDefault="00D8145D">
      <w:pPr>
        <w:pStyle w:val="Notedebasdepage"/>
        <w:rPr>
          <w:szCs w:val="22"/>
        </w:rPr>
      </w:pPr>
      <w:r w:rsidRPr="00920A2F">
        <w:rPr>
          <w:rStyle w:val="Appelnotedebasdep"/>
          <w:szCs w:val="22"/>
        </w:rPr>
        <w:footnoteRef/>
      </w:r>
      <w:r w:rsidRPr="00920A2F">
        <w:rPr>
          <w:szCs w:val="22"/>
        </w:rPr>
        <w:t xml:space="preserve"> </w:t>
      </w:r>
      <w:r w:rsidRPr="00920A2F">
        <w:rPr>
          <w:smallCaps/>
          <w:szCs w:val="22"/>
        </w:rPr>
        <w:t>Harper Lee, To Kill a Mockingbird</w:t>
      </w:r>
      <w:r w:rsidRPr="00920A2F">
        <w:rPr>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1AFB" w14:textId="0F1704FA" w:rsidR="00D8145D" w:rsidRPr="0065020F" w:rsidRDefault="00D8145D">
    <w:pPr>
      <w:rPr>
        <w:i/>
      </w:rPr>
    </w:pPr>
    <w:r>
      <w:rPr>
        <w:i/>
      </w:rPr>
      <w:t>The Criminal Jury, Nullification, Open Governance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52B"/>
    <w:multiLevelType w:val="multilevel"/>
    <w:tmpl w:val="0409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
    <w:nsid w:val="1FE6737C"/>
    <w:multiLevelType w:val="hybridMultilevel"/>
    <w:tmpl w:val="374CBEEA"/>
    <w:lvl w:ilvl="0" w:tplc="B374D788">
      <w:start w:val="1"/>
      <w:numFmt w:val="upperRoman"/>
      <w:pStyle w:val="H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F4EA8"/>
    <w:multiLevelType w:val="hybridMultilevel"/>
    <w:tmpl w:val="EFF6502C"/>
    <w:lvl w:ilvl="0" w:tplc="F156F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35C5E"/>
    <w:multiLevelType w:val="hybridMultilevel"/>
    <w:tmpl w:val="F2880FBE"/>
    <w:lvl w:ilvl="0" w:tplc="FD068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C6656A"/>
    <w:multiLevelType w:val="hybridMultilevel"/>
    <w:tmpl w:val="910E408A"/>
    <w:lvl w:ilvl="0" w:tplc="6032D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2A0887"/>
    <w:multiLevelType w:val="hybridMultilevel"/>
    <w:tmpl w:val="70222580"/>
    <w:lvl w:ilvl="0" w:tplc="02860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A1267F"/>
    <w:multiLevelType w:val="hybridMultilevel"/>
    <w:tmpl w:val="F97A4C4A"/>
    <w:lvl w:ilvl="0" w:tplc="F77E5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0"/>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FF29BE1C-6271-481D-8FBA-1B96DA2F5256}"/>
  </w:docVars>
  <w:rsids>
    <w:rsidRoot w:val="007A0448"/>
    <w:rsid w:val="00002D47"/>
    <w:rsid w:val="00005A64"/>
    <w:rsid w:val="00005DD8"/>
    <w:rsid w:val="00005FD7"/>
    <w:rsid w:val="000062EE"/>
    <w:rsid w:val="00010F2F"/>
    <w:rsid w:val="000125AB"/>
    <w:rsid w:val="000138A8"/>
    <w:rsid w:val="00014335"/>
    <w:rsid w:val="00016104"/>
    <w:rsid w:val="00022712"/>
    <w:rsid w:val="00025741"/>
    <w:rsid w:val="0003429F"/>
    <w:rsid w:val="00034B96"/>
    <w:rsid w:val="000351BA"/>
    <w:rsid w:val="000358E1"/>
    <w:rsid w:val="000358FE"/>
    <w:rsid w:val="000363D6"/>
    <w:rsid w:val="00036F41"/>
    <w:rsid w:val="0003762A"/>
    <w:rsid w:val="00037E74"/>
    <w:rsid w:val="00046453"/>
    <w:rsid w:val="0004773B"/>
    <w:rsid w:val="00051BE3"/>
    <w:rsid w:val="00052522"/>
    <w:rsid w:val="00053760"/>
    <w:rsid w:val="0005651D"/>
    <w:rsid w:val="0006020B"/>
    <w:rsid w:val="000628BB"/>
    <w:rsid w:val="00064BE7"/>
    <w:rsid w:val="00065700"/>
    <w:rsid w:val="00065A29"/>
    <w:rsid w:val="000676A8"/>
    <w:rsid w:val="00071BE4"/>
    <w:rsid w:val="000731C0"/>
    <w:rsid w:val="0007384C"/>
    <w:rsid w:val="000743C5"/>
    <w:rsid w:val="00075AC4"/>
    <w:rsid w:val="0008110B"/>
    <w:rsid w:val="00081911"/>
    <w:rsid w:val="0008548E"/>
    <w:rsid w:val="0008605E"/>
    <w:rsid w:val="000862DF"/>
    <w:rsid w:val="00087AF2"/>
    <w:rsid w:val="00093E4E"/>
    <w:rsid w:val="000950D4"/>
    <w:rsid w:val="00095D2E"/>
    <w:rsid w:val="000962E8"/>
    <w:rsid w:val="000A0406"/>
    <w:rsid w:val="000A0633"/>
    <w:rsid w:val="000A11C4"/>
    <w:rsid w:val="000A1F58"/>
    <w:rsid w:val="000A2E81"/>
    <w:rsid w:val="000B0A4B"/>
    <w:rsid w:val="000B1078"/>
    <w:rsid w:val="000B2AAF"/>
    <w:rsid w:val="000B2ACE"/>
    <w:rsid w:val="000B67F7"/>
    <w:rsid w:val="000B6CE1"/>
    <w:rsid w:val="000C102E"/>
    <w:rsid w:val="000C3098"/>
    <w:rsid w:val="000C345C"/>
    <w:rsid w:val="000C3F6A"/>
    <w:rsid w:val="000C62D2"/>
    <w:rsid w:val="000C725D"/>
    <w:rsid w:val="000C731F"/>
    <w:rsid w:val="000C7B24"/>
    <w:rsid w:val="000D06BA"/>
    <w:rsid w:val="000D542F"/>
    <w:rsid w:val="000E2614"/>
    <w:rsid w:val="000E3661"/>
    <w:rsid w:val="000E3E68"/>
    <w:rsid w:val="000E4D71"/>
    <w:rsid w:val="000E5371"/>
    <w:rsid w:val="000E6A46"/>
    <w:rsid w:val="000E76C2"/>
    <w:rsid w:val="000F0802"/>
    <w:rsid w:val="000F2019"/>
    <w:rsid w:val="000F4061"/>
    <w:rsid w:val="000F451F"/>
    <w:rsid w:val="000F533B"/>
    <w:rsid w:val="000F7B01"/>
    <w:rsid w:val="00101DAE"/>
    <w:rsid w:val="00103237"/>
    <w:rsid w:val="0010389D"/>
    <w:rsid w:val="00104A4F"/>
    <w:rsid w:val="00107652"/>
    <w:rsid w:val="0011036E"/>
    <w:rsid w:val="001117F1"/>
    <w:rsid w:val="00111C3C"/>
    <w:rsid w:val="00111F64"/>
    <w:rsid w:val="00114718"/>
    <w:rsid w:val="0011511E"/>
    <w:rsid w:val="00116125"/>
    <w:rsid w:val="00116860"/>
    <w:rsid w:val="00117FC4"/>
    <w:rsid w:val="00124CCB"/>
    <w:rsid w:val="001255D5"/>
    <w:rsid w:val="001326D7"/>
    <w:rsid w:val="001337E6"/>
    <w:rsid w:val="00134E10"/>
    <w:rsid w:val="001352C9"/>
    <w:rsid w:val="0013640C"/>
    <w:rsid w:val="00137D8A"/>
    <w:rsid w:val="00137E0F"/>
    <w:rsid w:val="00141B0D"/>
    <w:rsid w:val="00141CF4"/>
    <w:rsid w:val="00141F5D"/>
    <w:rsid w:val="00145D86"/>
    <w:rsid w:val="0015460E"/>
    <w:rsid w:val="00160D13"/>
    <w:rsid w:val="00161F68"/>
    <w:rsid w:val="00162C10"/>
    <w:rsid w:val="00162ECE"/>
    <w:rsid w:val="001669B6"/>
    <w:rsid w:val="00166AB7"/>
    <w:rsid w:val="00173F43"/>
    <w:rsid w:val="0018237A"/>
    <w:rsid w:val="00183314"/>
    <w:rsid w:val="0019130F"/>
    <w:rsid w:val="00194E67"/>
    <w:rsid w:val="00197322"/>
    <w:rsid w:val="001A055C"/>
    <w:rsid w:val="001A200F"/>
    <w:rsid w:val="001A2EC6"/>
    <w:rsid w:val="001A70D2"/>
    <w:rsid w:val="001B0289"/>
    <w:rsid w:val="001B13CD"/>
    <w:rsid w:val="001B2E7C"/>
    <w:rsid w:val="001B3897"/>
    <w:rsid w:val="001B3ED0"/>
    <w:rsid w:val="001C14BC"/>
    <w:rsid w:val="001C2F74"/>
    <w:rsid w:val="001C5E95"/>
    <w:rsid w:val="001C7D56"/>
    <w:rsid w:val="001D28D7"/>
    <w:rsid w:val="001D544E"/>
    <w:rsid w:val="001D7ACA"/>
    <w:rsid w:val="001E0B25"/>
    <w:rsid w:val="001E1773"/>
    <w:rsid w:val="001E358A"/>
    <w:rsid w:val="001E6173"/>
    <w:rsid w:val="001E6427"/>
    <w:rsid w:val="001E6814"/>
    <w:rsid w:val="001F0AA2"/>
    <w:rsid w:val="001F2A09"/>
    <w:rsid w:val="001F2C24"/>
    <w:rsid w:val="001F2FCA"/>
    <w:rsid w:val="001F40C7"/>
    <w:rsid w:val="00201706"/>
    <w:rsid w:val="00210AEB"/>
    <w:rsid w:val="00214A88"/>
    <w:rsid w:val="00217878"/>
    <w:rsid w:val="00220CDD"/>
    <w:rsid w:val="00225840"/>
    <w:rsid w:val="002270BB"/>
    <w:rsid w:val="00231F8E"/>
    <w:rsid w:val="002342DC"/>
    <w:rsid w:val="00237940"/>
    <w:rsid w:val="002379DE"/>
    <w:rsid w:val="002409B8"/>
    <w:rsid w:val="0024259C"/>
    <w:rsid w:val="00244924"/>
    <w:rsid w:val="00246D28"/>
    <w:rsid w:val="00247A9C"/>
    <w:rsid w:val="002500C0"/>
    <w:rsid w:val="002508BB"/>
    <w:rsid w:val="00251725"/>
    <w:rsid w:val="00251FA8"/>
    <w:rsid w:val="002544DF"/>
    <w:rsid w:val="00257281"/>
    <w:rsid w:val="00260022"/>
    <w:rsid w:val="00263E93"/>
    <w:rsid w:val="00265A1E"/>
    <w:rsid w:val="002672B2"/>
    <w:rsid w:val="00267AA6"/>
    <w:rsid w:val="00270E55"/>
    <w:rsid w:val="0027233E"/>
    <w:rsid w:val="00272AB3"/>
    <w:rsid w:val="00277A83"/>
    <w:rsid w:val="00280B69"/>
    <w:rsid w:val="0028330B"/>
    <w:rsid w:val="0028338F"/>
    <w:rsid w:val="00286589"/>
    <w:rsid w:val="0029037A"/>
    <w:rsid w:val="00293937"/>
    <w:rsid w:val="00293CA2"/>
    <w:rsid w:val="002942B9"/>
    <w:rsid w:val="00296F25"/>
    <w:rsid w:val="002970BD"/>
    <w:rsid w:val="002972B1"/>
    <w:rsid w:val="00297C50"/>
    <w:rsid w:val="00297DC0"/>
    <w:rsid w:val="002A1576"/>
    <w:rsid w:val="002A286D"/>
    <w:rsid w:val="002A3DAF"/>
    <w:rsid w:val="002A4697"/>
    <w:rsid w:val="002A5219"/>
    <w:rsid w:val="002A521C"/>
    <w:rsid w:val="002A56FB"/>
    <w:rsid w:val="002A7835"/>
    <w:rsid w:val="002B2B74"/>
    <w:rsid w:val="002B3BA9"/>
    <w:rsid w:val="002B5957"/>
    <w:rsid w:val="002B5B86"/>
    <w:rsid w:val="002B6907"/>
    <w:rsid w:val="002B6B7B"/>
    <w:rsid w:val="002B76E7"/>
    <w:rsid w:val="002C1AFC"/>
    <w:rsid w:val="002C3329"/>
    <w:rsid w:val="002C5B4D"/>
    <w:rsid w:val="002C5DBD"/>
    <w:rsid w:val="002D01C9"/>
    <w:rsid w:val="002D25CA"/>
    <w:rsid w:val="002D2DE3"/>
    <w:rsid w:val="002D3838"/>
    <w:rsid w:val="002D4639"/>
    <w:rsid w:val="002D5ACD"/>
    <w:rsid w:val="002D6615"/>
    <w:rsid w:val="002D752D"/>
    <w:rsid w:val="002E0B28"/>
    <w:rsid w:val="002E269B"/>
    <w:rsid w:val="002E43AD"/>
    <w:rsid w:val="002E7AE9"/>
    <w:rsid w:val="002F15DE"/>
    <w:rsid w:val="002F2263"/>
    <w:rsid w:val="002F27E2"/>
    <w:rsid w:val="002F3095"/>
    <w:rsid w:val="002F5016"/>
    <w:rsid w:val="002F7D1A"/>
    <w:rsid w:val="00300EBD"/>
    <w:rsid w:val="0030292E"/>
    <w:rsid w:val="00303036"/>
    <w:rsid w:val="003035DF"/>
    <w:rsid w:val="00303EE6"/>
    <w:rsid w:val="00306EB2"/>
    <w:rsid w:val="0031056B"/>
    <w:rsid w:val="0031148D"/>
    <w:rsid w:val="00312FFE"/>
    <w:rsid w:val="003143DC"/>
    <w:rsid w:val="00315C1A"/>
    <w:rsid w:val="0031658E"/>
    <w:rsid w:val="0032061A"/>
    <w:rsid w:val="0032336B"/>
    <w:rsid w:val="00323966"/>
    <w:rsid w:val="00323B30"/>
    <w:rsid w:val="00323CD5"/>
    <w:rsid w:val="00323EB2"/>
    <w:rsid w:val="003242AA"/>
    <w:rsid w:val="003275BA"/>
    <w:rsid w:val="0033391F"/>
    <w:rsid w:val="003368A7"/>
    <w:rsid w:val="00341189"/>
    <w:rsid w:val="0034123E"/>
    <w:rsid w:val="00341A18"/>
    <w:rsid w:val="00341F74"/>
    <w:rsid w:val="00343E4F"/>
    <w:rsid w:val="003440DF"/>
    <w:rsid w:val="0035152F"/>
    <w:rsid w:val="00352008"/>
    <w:rsid w:val="003527BE"/>
    <w:rsid w:val="00355338"/>
    <w:rsid w:val="00360DA5"/>
    <w:rsid w:val="003614C1"/>
    <w:rsid w:val="00364C42"/>
    <w:rsid w:val="00365992"/>
    <w:rsid w:val="00365A55"/>
    <w:rsid w:val="00367F27"/>
    <w:rsid w:val="003720A0"/>
    <w:rsid w:val="0037353B"/>
    <w:rsid w:val="00374C89"/>
    <w:rsid w:val="00376ACE"/>
    <w:rsid w:val="00377B5A"/>
    <w:rsid w:val="00380089"/>
    <w:rsid w:val="0038035C"/>
    <w:rsid w:val="0038298B"/>
    <w:rsid w:val="003842A9"/>
    <w:rsid w:val="00390F86"/>
    <w:rsid w:val="003914E4"/>
    <w:rsid w:val="0039181C"/>
    <w:rsid w:val="00391D6D"/>
    <w:rsid w:val="00392040"/>
    <w:rsid w:val="00393430"/>
    <w:rsid w:val="00393B71"/>
    <w:rsid w:val="00393D03"/>
    <w:rsid w:val="0039486D"/>
    <w:rsid w:val="0039793D"/>
    <w:rsid w:val="00397C96"/>
    <w:rsid w:val="003A0E22"/>
    <w:rsid w:val="003A3509"/>
    <w:rsid w:val="003A40AA"/>
    <w:rsid w:val="003A65F2"/>
    <w:rsid w:val="003A739A"/>
    <w:rsid w:val="003B0050"/>
    <w:rsid w:val="003B1C71"/>
    <w:rsid w:val="003B4C43"/>
    <w:rsid w:val="003B57DF"/>
    <w:rsid w:val="003B6F61"/>
    <w:rsid w:val="003B748A"/>
    <w:rsid w:val="003C25B1"/>
    <w:rsid w:val="003C31DF"/>
    <w:rsid w:val="003D0908"/>
    <w:rsid w:val="003D3F33"/>
    <w:rsid w:val="003E0908"/>
    <w:rsid w:val="003E6582"/>
    <w:rsid w:val="003F0112"/>
    <w:rsid w:val="003F123C"/>
    <w:rsid w:val="003F1491"/>
    <w:rsid w:val="003F25CC"/>
    <w:rsid w:val="003F4AFC"/>
    <w:rsid w:val="003F66BE"/>
    <w:rsid w:val="003F7C37"/>
    <w:rsid w:val="00400541"/>
    <w:rsid w:val="00401478"/>
    <w:rsid w:val="00403259"/>
    <w:rsid w:val="00405857"/>
    <w:rsid w:val="00412C72"/>
    <w:rsid w:val="004145A8"/>
    <w:rsid w:val="004220D2"/>
    <w:rsid w:val="004238C5"/>
    <w:rsid w:val="00423E77"/>
    <w:rsid w:val="00425E9B"/>
    <w:rsid w:val="00430495"/>
    <w:rsid w:val="004328EE"/>
    <w:rsid w:val="0043424E"/>
    <w:rsid w:val="00434E38"/>
    <w:rsid w:val="00435284"/>
    <w:rsid w:val="00435943"/>
    <w:rsid w:val="00437985"/>
    <w:rsid w:val="00443220"/>
    <w:rsid w:val="004475E5"/>
    <w:rsid w:val="00456FFC"/>
    <w:rsid w:val="004604E0"/>
    <w:rsid w:val="0046303C"/>
    <w:rsid w:val="0046314D"/>
    <w:rsid w:val="00463BB8"/>
    <w:rsid w:val="004653D6"/>
    <w:rsid w:val="0046641B"/>
    <w:rsid w:val="00467F9D"/>
    <w:rsid w:val="00470464"/>
    <w:rsid w:val="00470711"/>
    <w:rsid w:val="00471A4B"/>
    <w:rsid w:val="004721F4"/>
    <w:rsid w:val="0047523C"/>
    <w:rsid w:val="00475523"/>
    <w:rsid w:val="00476D3A"/>
    <w:rsid w:val="00481276"/>
    <w:rsid w:val="00487638"/>
    <w:rsid w:val="004876E0"/>
    <w:rsid w:val="00490879"/>
    <w:rsid w:val="004911DE"/>
    <w:rsid w:val="00493AB5"/>
    <w:rsid w:val="00493ECD"/>
    <w:rsid w:val="0049461F"/>
    <w:rsid w:val="004948D2"/>
    <w:rsid w:val="004949EA"/>
    <w:rsid w:val="004A0806"/>
    <w:rsid w:val="004A27DB"/>
    <w:rsid w:val="004A4123"/>
    <w:rsid w:val="004A642E"/>
    <w:rsid w:val="004A66E8"/>
    <w:rsid w:val="004B1BF3"/>
    <w:rsid w:val="004B2E28"/>
    <w:rsid w:val="004B30CD"/>
    <w:rsid w:val="004B58EC"/>
    <w:rsid w:val="004B5AEF"/>
    <w:rsid w:val="004B6449"/>
    <w:rsid w:val="004B72D8"/>
    <w:rsid w:val="004C054C"/>
    <w:rsid w:val="004C22AC"/>
    <w:rsid w:val="004C2359"/>
    <w:rsid w:val="004C2DD9"/>
    <w:rsid w:val="004C5AC6"/>
    <w:rsid w:val="004C78A1"/>
    <w:rsid w:val="004C7F3A"/>
    <w:rsid w:val="004D0000"/>
    <w:rsid w:val="004D1DF6"/>
    <w:rsid w:val="004D2DB6"/>
    <w:rsid w:val="004D3772"/>
    <w:rsid w:val="004D5F29"/>
    <w:rsid w:val="004E04C4"/>
    <w:rsid w:val="004E1218"/>
    <w:rsid w:val="004E1C9D"/>
    <w:rsid w:val="004E4470"/>
    <w:rsid w:val="004E45FE"/>
    <w:rsid w:val="004E5E2A"/>
    <w:rsid w:val="004E7E1D"/>
    <w:rsid w:val="004F12F4"/>
    <w:rsid w:val="004F6B97"/>
    <w:rsid w:val="004F73C0"/>
    <w:rsid w:val="004F7EAE"/>
    <w:rsid w:val="00500C76"/>
    <w:rsid w:val="005027FA"/>
    <w:rsid w:val="00505F20"/>
    <w:rsid w:val="0051165B"/>
    <w:rsid w:val="005131BD"/>
    <w:rsid w:val="00523105"/>
    <w:rsid w:val="00524566"/>
    <w:rsid w:val="005246D8"/>
    <w:rsid w:val="00524DF2"/>
    <w:rsid w:val="00525015"/>
    <w:rsid w:val="005300CE"/>
    <w:rsid w:val="00530BFD"/>
    <w:rsid w:val="00531062"/>
    <w:rsid w:val="00534EB0"/>
    <w:rsid w:val="00536AE7"/>
    <w:rsid w:val="0054209C"/>
    <w:rsid w:val="00542A03"/>
    <w:rsid w:val="005462EE"/>
    <w:rsid w:val="00550921"/>
    <w:rsid w:val="005512AA"/>
    <w:rsid w:val="0055328E"/>
    <w:rsid w:val="00556A70"/>
    <w:rsid w:val="00557D63"/>
    <w:rsid w:val="005606AA"/>
    <w:rsid w:val="0056312F"/>
    <w:rsid w:val="005634AF"/>
    <w:rsid w:val="00566F94"/>
    <w:rsid w:val="0056767A"/>
    <w:rsid w:val="0057004D"/>
    <w:rsid w:val="0057208F"/>
    <w:rsid w:val="00572129"/>
    <w:rsid w:val="00572A10"/>
    <w:rsid w:val="00572E91"/>
    <w:rsid w:val="005744B4"/>
    <w:rsid w:val="00574E5D"/>
    <w:rsid w:val="00575196"/>
    <w:rsid w:val="00575917"/>
    <w:rsid w:val="005761E9"/>
    <w:rsid w:val="00577EF8"/>
    <w:rsid w:val="00580D7B"/>
    <w:rsid w:val="00584A5F"/>
    <w:rsid w:val="00586136"/>
    <w:rsid w:val="00587664"/>
    <w:rsid w:val="00590DD6"/>
    <w:rsid w:val="00594836"/>
    <w:rsid w:val="005948E4"/>
    <w:rsid w:val="00595873"/>
    <w:rsid w:val="00596323"/>
    <w:rsid w:val="005A2E9E"/>
    <w:rsid w:val="005A4311"/>
    <w:rsid w:val="005A4A11"/>
    <w:rsid w:val="005A4AE9"/>
    <w:rsid w:val="005B1AC8"/>
    <w:rsid w:val="005B1D0F"/>
    <w:rsid w:val="005B32AB"/>
    <w:rsid w:val="005B43B5"/>
    <w:rsid w:val="005B51A4"/>
    <w:rsid w:val="005B5BFF"/>
    <w:rsid w:val="005B6D9E"/>
    <w:rsid w:val="005B6F59"/>
    <w:rsid w:val="005B7124"/>
    <w:rsid w:val="005B7C9D"/>
    <w:rsid w:val="005C481E"/>
    <w:rsid w:val="005C4D8E"/>
    <w:rsid w:val="005C6D58"/>
    <w:rsid w:val="005D0A72"/>
    <w:rsid w:val="005D17D5"/>
    <w:rsid w:val="005D419E"/>
    <w:rsid w:val="005D6998"/>
    <w:rsid w:val="005D6D15"/>
    <w:rsid w:val="005D6F86"/>
    <w:rsid w:val="005D771D"/>
    <w:rsid w:val="005D7AFA"/>
    <w:rsid w:val="005E3EEF"/>
    <w:rsid w:val="005E45ED"/>
    <w:rsid w:val="005E473D"/>
    <w:rsid w:val="005E53D0"/>
    <w:rsid w:val="005E6142"/>
    <w:rsid w:val="005E6CC8"/>
    <w:rsid w:val="005F2749"/>
    <w:rsid w:val="005F2C73"/>
    <w:rsid w:val="005F4A49"/>
    <w:rsid w:val="005F4EE2"/>
    <w:rsid w:val="005F5090"/>
    <w:rsid w:val="005F5525"/>
    <w:rsid w:val="006004F3"/>
    <w:rsid w:val="00603994"/>
    <w:rsid w:val="00603CB1"/>
    <w:rsid w:val="00605B52"/>
    <w:rsid w:val="00607390"/>
    <w:rsid w:val="00611410"/>
    <w:rsid w:val="0061197C"/>
    <w:rsid w:val="00612454"/>
    <w:rsid w:val="00612A46"/>
    <w:rsid w:val="006147A1"/>
    <w:rsid w:val="00615A83"/>
    <w:rsid w:val="00615BB6"/>
    <w:rsid w:val="0062121D"/>
    <w:rsid w:val="0062189C"/>
    <w:rsid w:val="00622EB9"/>
    <w:rsid w:val="00623699"/>
    <w:rsid w:val="00625754"/>
    <w:rsid w:val="00626568"/>
    <w:rsid w:val="00626E1A"/>
    <w:rsid w:val="00630DD4"/>
    <w:rsid w:val="00631F77"/>
    <w:rsid w:val="00632C9A"/>
    <w:rsid w:val="00633A3A"/>
    <w:rsid w:val="00633AB5"/>
    <w:rsid w:val="00634269"/>
    <w:rsid w:val="006344EB"/>
    <w:rsid w:val="00634D8E"/>
    <w:rsid w:val="006376DB"/>
    <w:rsid w:val="006405FA"/>
    <w:rsid w:val="00640FEB"/>
    <w:rsid w:val="00644CD2"/>
    <w:rsid w:val="00647782"/>
    <w:rsid w:val="0065020F"/>
    <w:rsid w:val="00657A49"/>
    <w:rsid w:val="0066141F"/>
    <w:rsid w:val="0066157B"/>
    <w:rsid w:val="006618A4"/>
    <w:rsid w:val="006620A0"/>
    <w:rsid w:val="0066627D"/>
    <w:rsid w:val="00667D9F"/>
    <w:rsid w:val="00670217"/>
    <w:rsid w:val="006707B0"/>
    <w:rsid w:val="006732C0"/>
    <w:rsid w:val="00674D79"/>
    <w:rsid w:val="0068177A"/>
    <w:rsid w:val="00681F5E"/>
    <w:rsid w:val="006821DB"/>
    <w:rsid w:val="00682CC8"/>
    <w:rsid w:val="00684D65"/>
    <w:rsid w:val="00687C98"/>
    <w:rsid w:val="00690968"/>
    <w:rsid w:val="00691AA7"/>
    <w:rsid w:val="006929EA"/>
    <w:rsid w:val="006934A4"/>
    <w:rsid w:val="00694139"/>
    <w:rsid w:val="00694549"/>
    <w:rsid w:val="00695B62"/>
    <w:rsid w:val="00695D68"/>
    <w:rsid w:val="00696CF5"/>
    <w:rsid w:val="006A036A"/>
    <w:rsid w:val="006A08E4"/>
    <w:rsid w:val="006A18F5"/>
    <w:rsid w:val="006A28AE"/>
    <w:rsid w:val="006A2FFE"/>
    <w:rsid w:val="006A3E60"/>
    <w:rsid w:val="006A5788"/>
    <w:rsid w:val="006A64A5"/>
    <w:rsid w:val="006A71CA"/>
    <w:rsid w:val="006B1260"/>
    <w:rsid w:val="006B7DC4"/>
    <w:rsid w:val="006C4B96"/>
    <w:rsid w:val="006C4CA6"/>
    <w:rsid w:val="006C6B4B"/>
    <w:rsid w:val="006C6FAC"/>
    <w:rsid w:val="006D5CE2"/>
    <w:rsid w:val="006E265E"/>
    <w:rsid w:val="006E2972"/>
    <w:rsid w:val="006E456D"/>
    <w:rsid w:val="006E6A0F"/>
    <w:rsid w:val="006F0738"/>
    <w:rsid w:val="006F0A98"/>
    <w:rsid w:val="006F2E40"/>
    <w:rsid w:val="006F32F6"/>
    <w:rsid w:val="006F3F4C"/>
    <w:rsid w:val="006F71B5"/>
    <w:rsid w:val="00700C95"/>
    <w:rsid w:val="007107B1"/>
    <w:rsid w:val="00710D96"/>
    <w:rsid w:val="00713E59"/>
    <w:rsid w:val="00713FEC"/>
    <w:rsid w:val="0071503A"/>
    <w:rsid w:val="007167B1"/>
    <w:rsid w:val="00716A3F"/>
    <w:rsid w:val="007227CA"/>
    <w:rsid w:val="007244BE"/>
    <w:rsid w:val="00725E2F"/>
    <w:rsid w:val="007268A3"/>
    <w:rsid w:val="00726D55"/>
    <w:rsid w:val="00732D34"/>
    <w:rsid w:val="00734070"/>
    <w:rsid w:val="00735A5E"/>
    <w:rsid w:val="00737CB1"/>
    <w:rsid w:val="00737DAF"/>
    <w:rsid w:val="00740149"/>
    <w:rsid w:val="00740969"/>
    <w:rsid w:val="0074288F"/>
    <w:rsid w:val="00742DDC"/>
    <w:rsid w:val="00754E9C"/>
    <w:rsid w:val="00755775"/>
    <w:rsid w:val="00755981"/>
    <w:rsid w:val="00757D12"/>
    <w:rsid w:val="00762911"/>
    <w:rsid w:val="00762BAF"/>
    <w:rsid w:val="007649E8"/>
    <w:rsid w:val="00766983"/>
    <w:rsid w:val="0076794F"/>
    <w:rsid w:val="00770238"/>
    <w:rsid w:val="00772C14"/>
    <w:rsid w:val="007837F2"/>
    <w:rsid w:val="00783EE2"/>
    <w:rsid w:val="00786109"/>
    <w:rsid w:val="0079010F"/>
    <w:rsid w:val="00794343"/>
    <w:rsid w:val="00795826"/>
    <w:rsid w:val="00795DA6"/>
    <w:rsid w:val="00796274"/>
    <w:rsid w:val="00796798"/>
    <w:rsid w:val="00797740"/>
    <w:rsid w:val="007A0448"/>
    <w:rsid w:val="007A0C7B"/>
    <w:rsid w:val="007A1054"/>
    <w:rsid w:val="007A1348"/>
    <w:rsid w:val="007A156B"/>
    <w:rsid w:val="007A20DC"/>
    <w:rsid w:val="007A23CE"/>
    <w:rsid w:val="007A3128"/>
    <w:rsid w:val="007A355D"/>
    <w:rsid w:val="007A5B78"/>
    <w:rsid w:val="007A5C21"/>
    <w:rsid w:val="007B0E28"/>
    <w:rsid w:val="007B3141"/>
    <w:rsid w:val="007B49EA"/>
    <w:rsid w:val="007C00BB"/>
    <w:rsid w:val="007C0A86"/>
    <w:rsid w:val="007C3C3C"/>
    <w:rsid w:val="007C6149"/>
    <w:rsid w:val="007C6C9E"/>
    <w:rsid w:val="007C75B8"/>
    <w:rsid w:val="007D1737"/>
    <w:rsid w:val="007D3540"/>
    <w:rsid w:val="007D37C9"/>
    <w:rsid w:val="007D388B"/>
    <w:rsid w:val="007D5A3A"/>
    <w:rsid w:val="007D7603"/>
    <w:rsid w:val="007E0B7F"/>
    <w:rsid w:val="007E342C"/>
    <w:rsid w:val="007E3683"/>
    <w:rsid w:val="007E455A"/>
    <w:rsid w:val="007E499B"/>
    <w:rsid w:val="007E60FD"/>
    <w:rsid w:val="007F0A3E"/>
    <w:rsid w:val="007F0A69"/>
    <w:rsid w:val="007F22AF"/>
    <w:rsid w:val="007F2A09"/>
    <w:rsid w:val="007F2FE1"/>
    <w:rsid w:val="007F3300"/>
    <w:rsid w:val="007F4AD1"/>
    <w:rsid w:val="007F5430"/>
    <w:rsid w:val="007F5862"/>
    <w:rsid w:val="007F59BA"/>
    <w:rsid w:val="007F6D81"/>
    <w:rsid w:val="007F7DDE"/>
    <w:rsid w:val="0080061F"/>
    <w:rsid w:val="008035A3"/>
    <w:rsid w:val="0080398C"/>
    <w:rsid w:val="008048C7"/>
    <w:rsid w:val="0080638F"/>
    <w:rsid w:val="00810E86"/>
    <w:rsid w:val="0081709F"/>
    <w:rsid w:val="008231EB"/>
    <w:rsid w:val="00823E98"/>
    <w:rsid w:val="00824D3D"/>
    <w:rsid w:val="0083033D"/>
    <w:rsid w:val="00830C75"/>
    <w:rsid w:val="00830C8A"/>
    <w:rsid w:val="00834242"/>
    <w:rsid w:val="00835A61"/>
    <w:rsid w:val="00837527"/>
    <w:rsid w:val="00837AA0"/>
    <w:rsid w:val="008403A8"/>
    <w:rsid w:val="00841103"/>
    <w:rsid w:val="008421EC"/>
    <w:rsid w:val="00847188"/>
    <w:rsid w:val="00847440"/>
    <w:rsid w:val="00856761"/>
    <w:rsid w:val="008600F0"/>
    <w:rsid w:val="0086225D"/>
    <w:rsid w:val="0086364A"/>
    <w:rsid w:val="008636C7"/>
    <w:rsid w:val="008708AF"/>
    <w:rsid w:val="00872581"/>
    <w:rsid w:val="00873E98"/>
    <w:rsid w:val="00874711"/>
    <w:rsid w:val="008779B3"/>
    <w:rsid w:val="00880495"/>
    <w:rsid w:val="0088157C"/>
    <w:rsid w:val="00881A57"/>
    <w:rsid w:val="00882BD6"/>
    <w:rsid w:val="00883F4A"/>
    <w:rsid w:val="0088410B"/>
    <w:rsid w:val="008911EA"/>
    <w:rsid w:val="008959F7"/>
    <w:rsid w:val="00896E06"/>
    <w:rsid w:val="008A1BD3"/>
    <w:rsid w:val="008A1EDF"/>
    <w:rsid w:val="008A1F6C"/>
    <w:rsid w:val="008A26CF"/>
    <w:rsid w:val="008A4841"/>
    <w:rsid w:val="008A70E0"/>
    <w:rsid w:val="008B097E"/>
    <w:rsid w:val="008B0D6B"/>
    <w:rsid w:val="008B3345"/>
    <w:rsid w:val="008B6926"/>
    <w:rsid w:val="008B70DE"/>
    <w:rsid w:val="008C22D7"/>
    <w:rsid w:val="008C2576"/>
    <w:rsid w:val="008C45BA"/>
    <w:rsid w:val="008C4F5C"/>
    <w:rsid w:val="008C6E5F"/>
    <w:rsid w:val="008C6F43"/>
    <w:rsid w:val="008C7763"/>
    <w:rsid w:val="008D05E3"/>
    <w:rsid w:val="008D5032"/>
    <w:rsid w:val="008D5387"/>
    <w:rsid w:val="008D6588"/>
    <w:rsid w:val="008D7AEB"/>
    <w:rsid w:val="008E0838"/>
    <w:rsid w:val="008E1311"/>
    <w:rsid w:val="008E14E0"/>
    <w:rsid w:val="008E22B3"/>
    <w:rsid w:val="008E3CD4"/>
    <w:rsid w:val="008E4731"/>
    <w:rsid w:val="008E4ABB"/>
    <w:rsid w:val="008E5074"/>
    <w:rsid w:val="008E5975"/>
    <w:rsid w:val="008E7A21"/>
    <w:rsid w:val="008F0E95"/>
    <w:rsid w:val="008F132B"/>
    <w:rsid w:val="008F2A9B"/>
    <w:rsid w:val="008F3780"/>
    <w:rsid w:val="008F4313"/>
    <w:rsid w:val="008F57D0"/>
    <w:rsid w:val="008F6A62"/>
    <w:rsid w:val="008F7F1F"/>
    <w:rsid w:val="00901805"/>
    <w:rsid w:val="00903A0C"/>
    <w:rsid w:val="00905EB8"/>
    <w:rsid w:val="009076A8"/>
    <w:rsid w:val="00910108"/>
    <w:rsid w:val="00910863"/>
    <w:rsid w:val="00911C6F"/>
    <w:rsid w:val="009151AF"/>
    <w:rsid w:val="00915C2C"/>
    <w:rsid w:val="00915CCC"/>
    <w:rsid w:val="009167EF"/>
    <w:rsid w:val="00917486"/>
    <w:rsid w:val="009203EF"/>
    <w:rsid w:val="009208F6"/>
    <w:rsid w:val="00920A2F"/>
    <w:rsid w:val="00921CB9"/>
    <w:rsid w:val="00921F3F"/>
    <w:rsid w:val="00923C80"/>
    <w:rsid w:val="009243AB"/>
    <w:rsid w:val="009256F1"/>
    <w:rsid w:val="00926DCE"/>
    <w:rsid w:val="00927A59"/>
    <w:rsid w:val="00930437"/>
    <w:rsid w:val="00931233"/>
    <w:rsid w:val="00931A2E"/>
    <w:rsid w:val="009355B6"/>
    <w:rsid w:val="009356D6"/>
    <w:rsid w:val="00936C0C"/>
    <w:rsid w:val="009402A2"/>
    <w:rsid w:val="00942A54"/>
    <w:rsid w:val="00943807"/>
    <w:rsid w:val="00944E1B"/>
    <w:rsid w:val="00945ADB"/>
    <w:rsid w:val="00947216"/>
    <w:rsid w:val="00954AB4"/>
    <w:rsid w:val="009566AB"/>
    <w:rsid w:val="00956F40"/>
    <w:rsid w:val="0095793E"/>
    <w:rsid w:val="00960CC3"/>
    <w:rsid w:val="00960FA0"/>
    <w:rsid w:val="00961A58"/>
    <w:rsid w:val="009651B2"/>
    <w:rsid w:val="00966496"/>
    <w:rsid w:val="009721BE"/>
    <w:rsid w:val="00973572"/>
    <w:rsid w:val="009739A5"/>
    <w:rsid w:val="00974BE0"/>
    <w:rsid w:val="0098059E"/>
    <w:rsid w:val="00980876"/>
    <w:rsid w:val="0098126A"/>
    <w:rsid w:val="009816AB"/>
    <w:rsid w:val="00982585"/>
    <w:rsid w:val="0098342B"/>
    <w:rsid w:val="00984650"/>
    <w:rsid w:val="00985CFD"/>
    <w:rsid w:val="00987399"/>
    <w:rsid w:val="00991767"/>
    <w:rsid w:val="00991D38"/>
    <w:rsid w:val="00993C50"/>
    <w:rsid w:val="00995444"/>
    <w:rsid w:val="009A19C8"/>
    <w:rsid w:val="009A3319"/>
    <w:rsid w:val="009A33CC"/>
    <w:rsid w:val="009A3FE9"/>
    <w:rsid w:val="009A4FA7"/>
    <w:rsid w:val="009A693B"/>
    <w:rsid w:val="009A6C84"/>
    <w:rsid w:val="009B235E"/>
    <w:rsid w:val="009B3881"/>
    <w:rsid w:val="009B6049"/>
    <w:rsid w:val="009C0E56"/>
    <w:rsid w:val="009C3341"/>
    <w:rsid w:val="009C4434"/>
    <w:rsid w:val="009C6070"/>
    <w:rsid w:val="009C65F2"/>
    <w:rsid w:val="009C7083"/>
    <w:rsid w:val="009D0A4D"/>
    <w:rsid w:val="009D0DB1"/>
    <w:rsid w:val="009D1601"/>
    <w:rsid w:val="009D2152"/>
    <w:rsid w:val="009D4161"/>
    <w:rsid w:val="009D44AE"/>
    <w:rsid w:val="009D5E26"/>
    <w:rsid w:val="009E12D7"/>
    <w:rsid w:val="009E250D"/>
    <w:rsid w:val="009E5B79"/>
    <w:rsid w:val="009E60B5"/>
    <w:rsid w:val="009E6430"/>
    <w:rsid w:val="009E6846"/>
    <w:rsid w:val="009E7D2E"/>
    <w:rsid w:val="009F28AE"/>
    <w:rsid w:val="009F2F25"/>
    <w:rsid w:val="009F6564"/>
    <w:rsid w:val="00A009DD"/>
    <w:rsid w:val="00A0114E"/>
    <w:rsid w:val="00A048DC"/>
    <w:rsid w:val="00A06304"/>
    <w:rsid w:val="00A06D14"/>
    <w:rsid w:val="00A07583"/>
    <w:rsid w:val="00A075D1"/>
    <w:rsid w:val="00A10A10"/>
    <w:rsid w:val="00A17FA5"/>
    <w:rsid w:val="00A20656"/>
    <w:rsid w:val="00A20737"/>
    <w:rsid w:val="00A2145E"/>
    <w:rsid w:val="00A236E7"/>
    <w:rsid w:val="00A23783"/>
    <w:rsid w:val="00A2481F"/>
    <w:rsid w:val="00A264C3"/>
    <w:rsid w:val="00A27AFF"/>
    <w:rsid w:val="00A30D2B"/>
    <w:rsid w:val="00A30F67"/>
    <w:rsid w:val="00A315FE"/>
    <w:rsid w:val="00A32CCA"/>
    <w:rsid w:val="00A33343"/>
    <w:rsid w:val="00A335B2"/>
    <w:rsid w:val="00A335E5"/>
    <w:rsid w:val="00A37382"/>
    <w:rsid w:val="00A378FC"/>
    <w:rsid w:val="00A46641"/>
    <w:rsid w:val="00A46C18"/>
    <w:rsid w:val="00A47497"/>
    <w:rsid w:val="00A5334C"/>
    <w:rsid w:val="00A55715"/>
    <w:rsid w:val="00A55F39"/>
    <w:rsid w:val="00A5618B"/>
    <w:rsid w:val="00A56711"/>
    <w:rsid w:val="00A569F6"/>
    <w:rsid w:val="00A56EA2"/>
    <w:rsid w:val="00A6195B"/>
    <w:rsid w:val="00A63673"/>
    <w:rsid w:val="00A6502C"/>
    <w:rsid w:val="00A67298"/>
    <w:rsid w:val="00A7445B"/>
    <w:rsid w:val="00A80167"/>
    <w:rsid w:val="00A8315E"/>
    <w:rsid w:val="00A8343D"/>
    <w:rsid w:val="00A84751"/>
    <w:rsid w:val="00A84FC4"/>
    <w:rsid w:val="00A85445"/>
    <w:rsid w:val="00A8573B"/>
    <w:rsid w:val="00A860B6"/>
    <w:rsid w:val="00A9070A"/>
    <w:rsid w:val="00A910D2"/>
    <w:rsid w:val="00A91155"/>
    <w:rsid w:val="00A91300"/>
    <w:rsid w:val="00A9178B"/>
    <w:rsid w:val="00A917F2"/>
    <w:rsid w:val="00A922D0"/>
    <w:rsid w:val="00A92680"/>
    <w:rsid w:val="00A9366F"/>
    <w:rsid w:val="00A94F87"/>
    <w:rsid w:val="00A95B42"/>
    <w:rsid w:val="00AA1753"/>
    <w:rsid w:val="00AA1A2C"/>
    <w:rsid w:val="00AA29CF"/>
    <w:rsid w:val="00AA34C5"/>
    <w:rsid w:val="00AA3DA6"/>
    <w:rsid w:val="00AA3EDC"/>
    <w:rsid w:val="00AA477A"/>
    <w:rsid w:val="00AA7734"/>
    <w:rsid w:val="00AB6A3F"/>
    <w:rsid w:val="00AC21AB"/>
    <w:rsid w:val="00AC2F55"/>
    <w:rsid w:val="00AC43FE"/>
    <w:rsid w:val="00AC6D25"/>
    <w:rsid w:val="00AC7527"/>
    <w:rsid w:val="00AD0D99"/>
    <w:rsid w:val="00AD3F8A"/>
    <w:rsid w:val="00AD59DA"/>
    <w:rsid w:val="00AD5B6A"/>
    <w:rsid w:val="00AE10AA"/>
    <w:rsid w:val="00AE1D69"/>
    <w:rsid w:val="00AE27EF"/>
    <w:rsid w:val="00AE2DAA"/>
    <w:rsid w:val="00AE30C8"/>
    <w:rsid w:val="00AE4877"/>
    <w:rsid w:val="00AE68C1"/>
    <w:rsid w:val="00AE6AD2"/>
    <w:rsid w:val="00AF01FF"/>
    <w:rsid w:val="00AF097B"/>
    <w:rsid w:val="00AF29AD"/>
    <w:rsid w:val="00AF3DC0"/>
    <w:rsid w:val="00AF7DDF"/>
    <w:rsid w:val="00B06BA8"/>
    <w:rsid w:val="00B06BC1"/>
    <w:rsid w:val="00B11A36"/>
    <w:rsid w:val="00B11D8D"/>
    <w:rsid w:val="00B13BE6"/>
    <w:rsid w:val="00B143C4"/>
    <w:rsid w:val="00B148D0"/>
    <w:rsid w:val="00B155D9"/>
    <w:rsid w:val="00B158CF"/>
    <w:rsid w:val="00B17CE1"/>
    <w:rsid w:val="00B22198"/>
    <w:rsid w:val="00B222DB"/>
    <w:rsid w:val="00B24FEB"/>
    <w:rsid w:val="00B26B98"/>
    <w:rsid w:val="00B270AA"/>
    <w:rsid w:val="00B2775C"/>
    <w:rsid w:val="00B335D0"/>
    <w:rsid w:val="00B36169"/>
    <w:rsid w:val="00B3660F"/>
    <w:rsid w:val="00B4012F"/>
    <w:rsid w:val="00B40F95"/>
    <w:rsid w:val="00B42BE0"/>
    <w:rsid w:val="00B44003"/>
    <w:rsid w:val="00B44124"/>
    <w:rsid w:val="00B4515A"/>
    <w:rsid w:val="00B45240"/>
    <w:rsid w:val="00B479BE"/>
    <w:rsid w:val="00B5028A"/>
    <w:rsid w:val="00B51477"/>
    <w:rsid w:val="00B52609"/>
    <w:rsid w:val="00B533EE"/>
    <w:rsid w:val="00B53838"/>
    <w:rsid w:val="00B5573B"/>
    <w:rsid w:val="00B55D36"/>
    <w:rsid w:val="00B56ADC"/>
    <w:rsid w:val="00B57567"/>
    <w:rsid w:val="00B6090E"/>
    <w:rsid w:val="00B60C01"/>
    <w:rsid w:val="00B60FCE"/>
    <w:rsid w:val="00B62258"/>
    <w:rsid w:val="00B6343C"/>
    <w:rsid w:val="00B65A3E"/>
    <w:rsid w:val="00B66970"/>
    <w:rsid w:val="00B70366"/>
    <w:rsid w:val="00B7351B"/>
    <w:rsid w:val="00B73829"/>
    <w:rsid w:val="00B83D8B"/>
    <w:rsid w:val="00B84702"/>
    <w:rsid w:val="00B85529"/>
    <w:rsid w:val="00B86EA5"/>
    <w:rsid w:val="00B87CB3"/>
    <w:rsid w:val="00B87F14"/>
    <w:rsid w:val="00B90662"/>
    <w:rsid w:val="00B90B21"/>
    <w:rsid w:val="00B95FD9"/>
    <w:rsid w:val="00B9729A"/>
    <w:rsid w:val="00B97E0E"/>
    <w:rsid w:val="00BA257F"/>
    <w:rsid w:val="00BA32C8"/>
    <w:rsid w:val="00BA4C04"/>
    <w:rsid w:val="00BA63E5"/>
    <w:rsid w:val="00BA659F"/>
    <w:rsid w:val="00BA7A7C"/>
    <w:rsid w:val="00BB0AAB"/>
    <w:rsid w:val="00BB3F88"/>
    <w:rsid w:val="00BB4571"/>
    <w:rsid w:val="00BB481D"/>
    <w:rsid w:val="00BB7A88"/>
    <w:rsid w:val="00BC2AD8"/>
    <w:rsid w:val="00BC5C4B"/>
    <w:rsid w:val="00BC7079"/>
    <w:rsid w:val="00BD3FB2"/>
    <w:rsid w:val="00BD57FF"/>
    <w:rsid w:val="00BE0AD7"/>
    <w:rsid w:val="00BE1063"/>
    <w:rsid w:val="00BE1499"/>
    <w:rsid w:val="00BE1577"/>
    <w:rsid w:val="00BE18AD"/>
    <w:rsid w:val="00BE2049"/>
    <w:rsid w:val="00BE369F"/>
    <w:rsid w:val="00BE3E56"/>
    <w:rsid w:val="00BE51FE"/>
    <w:rsid w:val="00BE59F4"/>
    <w:rsid w:val="00BE6D74"/>
    <w:rsid w:val="00BE74EE"/>
    <w:rsid w:val="00BE7884"/>
    <w:rsid w:val="00BF07E2"/>
    <w:rsid w:val="00BF7CDD"/>
    <w:rsid w:val="00C00614"/>
    <w:rsid w:val="00C00B07"/>
    <w:rsid w:val="00C056A9"/>
    <w:rsid w:val="00C12707"/>
    <w:rsid w:val="00C14799"/>
    <w:rsid w:val="00C2151F"/>
    <w:rsid w:val="00C21D98"/>
    <w:rsid w:val="00C22C8C"/>
    <w:rsid w:val="00C2561F"/>
    <w:rsid w:val="00C33571"/>
    <w:rsid w:val="00C338E7"/>
    <w:rsid w:val="00C33A5A"/>
    <w:rsid w:val="00C360D5"/>
    <w:rsid w:val="00C37972"/>
    <w:rsid w:val="00C422AB"/>
    <w:rsid w:val="00C463DA"/>
    <w:rsid w:val="00C519A8"/>
    <w:rsid w:val="00C520BC"/>
    <w:rsid w:val="00C5490D"/>
    <w:rsid w:val="00C55F56"/>
    <w:rsid w:val="00C56B57"/>
    <w:rsid w:val="00C6105D"/>
    <w:rsid w:val="00C62532"/>
    <w:rsid w:val="00C64EF6"/>
    <w:rsid w:val="00C655E7"/>
    <w:rsid w:val="00C65AB1"/>
    <w:rsid w:val="00C65F52"/>
    <w:rsid w:val="00C66232"/>
    <w:rsid w:val="00C679E6"/>
    <w:rsid w:val="00C67AD2"/>
    <w:rsid w:val="00C701D4"/>
    <w:rsid w:val="00C712A5"/>
    <w:rsid w:val="00C72B2B"/>
    <w:rsid w:val="00C74B8A"/>
    <w:rsid w:val="00C75E50"/>
    <w:rsid w:val="00C762F5"/>
    <w:rsid w:val="00C776A9"/>
    <w:rsid w:val="00C77A9C"/>
    <w:rsid w:val="00C84C2F"/>
    <w:rsid w:val="00C85D8E"/>
    <w:rsid w:val="00C865F7"/>
    <w:rsid w:val="00C87A56"/>
    <w:rsid w:val="00C90CDC"/>
    <w:rsid w:val="00C92072"/>
    <w:rsid w:val="00C92839"/>
    <w:rsid w:val="00C95851"/>
    <w:rsid w:val="00C96F3E"/>
    <w:rsid w:val="00CA10C0"/>
    <w:rsid w:val="00CA1807"/>
    <w:rsid w:val="00CA20F2"/>
    <w:rsid w:val="00CA2475"/>
    <w:rsid w:val="00CA41E3"/>
    <w:rsid w:val="00CA4CD0"/>
    <w:rsid w:val="00CA7627"/>
    <w:rsid w:val="00CA7A7F"/>
    <w:rsid w:val="00CB03F4"/>
    <w:rsid w:val="00CB06E8"/>
    <w:rsid w:val="00CB2E7C"/>
    <w:rsid w:val="00CB3A0D"/>
    <w:rsid w:val="00CB53F2"/>
    <w:rsid w:val="00CB597E"/>
    <w:rsid w:val="00CC189E"/>
    <w:rsid w:val="00CC36DD"/>
    <w:rsid w:val="00CC65C1"/>
    <w:rsid w:val="00CD0951"/>
    <w:rsid w:val="00CD412F"/>
    <w:rsid w:val="00CD6D4D"/>
    <w:rsid w:val="00CE1E1B"/>
    <w:rsid w:val="00CE3D7F"/>
    <w:rsid w:val="00CE4193"/>
    <w:rsid w:val="00CE7C79"/>
    <w:rsid w:val="00CF0764"/>
    <w:rsid w:val="00CF408B"/>
    <w:rsid w:val="00CF4660"/>
    <w:rsid w:val="00CF5FDF"/>
    <w:rsid w:val="00CF6A71"/>
    <w:rsid w:val="00CF7701"/>
    <w:rsid w:val="00CF7D10"/>
    <w:rsid w:val="00D03380"/>
    <w:rsid w:val="00D0493E"/>
    <w:rsid w:val="00D0625D"/>
    <w:rsid w:val="00D063E9"/>
    <w:rsid w:val="00D06DC7"/>
    <w:rsid w:val="00D06EC4"/>
    <w:rsid w:val="00D07D48"/>
    <w:rsid w:val="00D112AD"/>
    <w:rsid w:val="00D141B2"/>
    <w:rsid w:val="00D15CBD"/>
    <w:rsid w:val="00D16041"/>
    <w:rsid w:val="00D170E5"/>
    <w:rsid w:val="00D17692"/>
    <w:rsid w:val="00D176EF"/>
    <w:rsid w:val="00D21805"/>
    <w:rsid w:val="00D22287"/>
    <w:rsid w:val="00D22B20"/>
    <w:rsid w:val="00D23496"/>
    <w:rsid w:val="00D243A8"/>
    <w:rsid w:val="00D25D9A"/>
    <w:rsid w:val="00D31F28"/>
    <w:rsid w:val="00D33045"/>
    <w:rsid w:val="00D34671"/>
    <w:rsid w:val="00D3587D"/>
    <w:rsid w:val="00D373A4"/>
    <w:rsid w:val="00D42936"/>
    <w:rsid w:val="00D450E0"/>
    <w:rsid w:val="00D4675C"/>
    <w:rsid w:val="00D53A94"/>
    <w:rsid w:val="00D56136"/>
    <w:rsid w:val="00D567C5"/>
    <w:rsid w:val="00D57FBD"/>
    <w:rsid w:val="00D609F0"/>
    <w:rsid w:val="00D61030"/>
    <w:rsid w:val="00D61306"/>
    <w:rsid w:val="00D619CE"/>
    <w:rsid w:val="00D63AD0"/>
    <w:rsid w:val="00D63F07"/>
    <w:rsid w:val="00D63F43"/>
    <w:rsid w:val="00D65E9E"/>
    <w:rsid w:val="00D66829"/>
    <w:rsid w:val="00D66FD7"/>
    <w:rsid w:val="00D6710E"/>
    <w:rsid w:val="00D675A0"/>
    <w:rsid w:val="00D67CF4"/>
    <w:rsid w:val="00D70315"/>
    <w:rsid w:val="00D70737"/>
    <w:rsid w:val="00D767A2"/>
    <w:rsid w:val="00D8094C"/>
    <w:rsid w:val="00D80AC0"/>
    <w:rsid w:val="00D8145D"/>
    <w:rsid w:val="00D81F94"/>
    <w:rsid w:val="00D85838"/>
    <w:rsid w:val="00D868A5"/>
    <w:rsid w:val="00D917EF"/>
    <w:rsid w:val="00D927B3"/>
    <w:rsid w:val="00D9369C"/>
    <w:rsid w:val="00D955E5"/>
    <w:rsid w:val="00D95F50"/>
    <w:rsid w:val="00D97D81"/>
    <w:rsid w:val="00DA0AF9"/>
    <w:rsid w:val="00DA2245"/>
    <w:rsid w:val="00DA26CB"/>
    <w:rsid w:val="00DA45B1"/>
    <w:rsid w:val="00DA5BA4"/>
    <w:rsid w:val="00DA6DC9"/>
    <w:rsid w:val="00DB0AAF"/>
    <w:rsid w:val="00DB1934"/>
    <w:rsid w:val="00DB513A"/>
    <w:rsid w:val="00DC0D53"/>
    <w:rsid w:val="00DC67E3"/>
    <w:rsid w:val="00DC6928"/>
    <w:rsid w:val="00DD593A"/>
    <w:rsid w:val="00DD7603"/>
    <w:rsid w:val="00DE4AAE"/>
    <w:rsid w:val="00DE67E7"/>
    <w:rsid w:val="00DE70BA"/>
    <w:rsid w:val="00DF4A92"/>
    <w:rsid w:val="00DF4C00"/>
    <w:rsid w:val="00DF4D4D"/>
    <w:rsid w:val="00DF773A"/>
    <w:rsid w:val="00DF77EF"/>
    <w:rsid w:val="00E000EA"/>
    <w:rsid w:val="00E018BB"/>
    <w:rsid w:val="00E02E8F"/>
    <w:rsid w:val="00E06240"/>
    <w:rsid w:val="00E10262"/>
    <w:rsid w:val="00E12556"/>
    <w:rsid w:val="00E146A3"/>
    <w:rsid w:val="00E16902"/>
    <w:rsid w:val="00E16E97"/>
    <w:rsid w:val="00E24B98"/>
    <w:rsid w:val="00E26E28"/>
    <w:rsid w:val="00E319D7"/>
    <w:rsid w:val="00E32825"/>
    <w:rsid w:val="00E32AEA"/>
    <w:rsid w:val="00E351C9"/>
    <w:rsid w:val="00E35B24"/>
    <w:rsid w:val="00E364BA"/>
    <w:rsid w:val="00E37B95"/>
    <w:rsid w:val="00E40F0E"/>
    <w:rsid w:val="00E4307F"/>
    <w:rsid w:val="00E436E8"/>
    <w:rsid w:val="00E45726"/>
    <w:rsid w:val="00E46C65"/>
    <w:rsid w:val="00E476F7"/>
    <w:rsid w:val="00E51B4F"/>
    <w:rsid w:val="00E53328"/>
    <w:rsid w:val="00E53B77"/>
    <w:rsid w:val="00E54BED"/>
    <w:rsid w:val="00E605DF"/>
    <w:rsid w:val="00E60744"/>
    <w:rsid w:val="00E61C54"/>
    <w:rsid w:val="00E62D14"/>
    <w:rsid w:val="00E65E22"/>
    <w:rsid w:val="00E67C54"/>
    <w:rsid w:val="00E708AE"/>
    <w:rsid w:val="00E72F3B"/>
    <w:rsid w:val="00E72F92"/>
    <w:rsid w:val="00E769AF"/>
    <w:rsid w:val="00E81728"/>
    <w:rsid w:val="00E837C2"/>
    <w:rsid w:val="00E83A58"/>
    <w:rsid w:val="00E85418"/>
    <w:rsid w:val="00E86F4D"/>
    <w:rsid w:val="00E93804"/>
    <w:rsid w:val="00E954B8"/>
    <w:rsid w:val="00E95CF6"/>
    <w:rsid w:val="00E96936"/>
    <w:rsid w:val="00E96DB1"/>
    <w:rsid w:val="00EA0D85"/>
    <w:rsid w:val="00EA0DEE"/>
    <w:rsid w:val="00EA24B9"/>
    <w:rsid w:val="00EA2C83"/>
    <w:rsid w:val="00EA76F9"/>
    <w:rsid w:val="00EA786C"/>
    <w:rsid w:val="00EB0B8E"/>
    <w:rsid w:val="00EB16B3"/>
    <w:rsid w:val="00EB25E8"/>
    <w:rsid w:val="00EB2CB7"/>
    <w:rsid w:val="00EB6D4A"/>
    <w:rsid w:val="00EC5976"/>
    <w:rsid w:val="00EC636F"/>
    <w:rsid w:val="00ED0DF7"/>
    <w:rsid w:val="00ED12C6"/>
    <w:rsid w:val="00ED1CA2"/>
    <w:rsid w:val="00ED224A"/>
    <w:rsid w:val="00ED2365"/>
    <w:rsid w:val="00ED2A90"/>
    <w:rsid w:val="00ED3BAE"/>
    <w:rsid w:val="00ED6001"/>
    <w:rsid w:val="00ED6F64"/>
    <w:rsid w:val="00EE4210"/>
    <w:rsid w:val="00EE4DAD"/>
    <w:rsid w:val="00EE52A7"/>
    <w:rsid w:val="00EE58FF"/>
    <w:rsid w:val="00EE70BF"/>
    <w:rsid w:val="00EF0AF8"/>
    <w:rsid w:val="00EF1B4D"/>
    <w:rsid w:val="00EF67D6"/>
    <w:rsid w:val="00F0416F"/>
    <w:rsid w:val="00F04F4C"/>
    <w:rsid w:val="00F05435"/>
    <w:rsid w:val="00F05FFE"/>
    <w:rsid w:val="00F06509"/>
    <w:rsid w:val="00F07874"/>
    <w:rsid w:val="00F15AC1"/>
    <w:rsid w:val="00F15B4D"/>
    <w:rsid w:val="00F2006B"/>
    <w:rsid w:val="00F261E5"/>
    <w:rsid w:val="00F31F45"/>
    <w:rsid w:val="00F32C0F"/>
    <w:rsid w:val="00F33270"/>
    <w:rsid w:val="00F36C09"/>
    <w:rsid w:val="00F378E5"/>
    <w:rsid w:val="00F41059"/>
    <w:rsid w:val="00F41B84"/>
    <w:rsid w:val="00F42D40"/>
    <w:rsid w:val="00F47658"/>
    <w:rsid w:val="00F50B6B"/>
    <w:rsid w:val="00F52173"/>
    <w:rsid w:val="00F52323"/>
    <w:rsid w:val="00F52362"/>
    <w:rsid w:val="00F53BE9"/>
    <w:rsid w:val="00F6632B"/>
    <w:rsid w:val="00F666EC"/>
    <w:rsid w:val="00F66ACC"/>
    <w:rsid w:val="00F7032C"/>
    <w:rsid w:val="00F704E0"/>
    <w:rsid w:val="00F72567"/>
    <w:rsid w:val="00F73B60"/>
    <w:rsid w:val="00F74F89"/>
    <w:rsid w:val="00F76120"/>
    <w:rsid w:val="00F8070F"/>
    <w:rsid w:val="00F81938"/>
    <w:rsid w:val="00F81EA2"/>
    <w:rsid w:val="00F8416E"/>
    <w:rsid w:val="00F85909"/>
    <w:rsid w:val="00F87A29"/>
    <w:rsid w:val="00F9047E"/>
    <w:rsid w:val="00F93E3D"/>
    <w:rsid w:val="00F94022"/>
    <w:rsid w:val="00F944F3"/>
    <w:rsid w:val="00F95666"/>
    <w:rsid w:val="00FA1235"/>
    <w:rsid w:val="00FA1472"/>
    <w:rsid w:val="00FA4E31"/>
    <w:rsid w:val="00FB16BF"/>
    <w:rsid w:val="00FB34BA"/>
    <w:rsid w:val="00FB3779"/>
    <w:rsid w:val="00FB70D1"/>
    <w:rsid w:val="00FC0D42"/>
    <w:rsid w:val="00FC20F4"/>
    <w:rsid w:val="00FC2E80"/>
    <w:rsid w:val="00FC38DC"/>
    <w:rsid w:val="00FC5D01"/>
    <w:rsid w:val="00FC5E47"/>
    <w:rsid w:val="00FC759F"/>
    <w:rsid w:val="00FD0A9A"/>
    <w:rsid w:val="00FD1CFA"/>
    <w:rsid w:val="00FD68D7"/>
    <w:rsid w:val="00FE49C6"/>
    <w:rsid w:val="00FE51D7"/>
    <w:rsid w:val="00FE779D"/>
    <w:rsid w:val="00FF25AE"/>
    <w:rsid w:val="00FF35E5"/>
    <w:rsid w:val="00FF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7A3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EF6"/>
    <w:pPr>
      <w:jc w:val="both"/>
    </w:pPr>
    <w:rPr>
      <w:rFonts w:ascii="Times New Roman" w:hAnsi="Times New Roman"/>
      <w:sz w:val="24"/>
    </w:rPr>
  </w:style>
  <w:style w:type="paragraph" w:styleId="Titre1">
    <w:name w:val="heading 1"/>
    <w:basedOn w:val="H1"/>
    <w:next w:val="Normal"/>
    <w:link w:val="Titre1Car"/>
    <w:uiPriority w:val="9"/>
    <w:qFormat/>
    <w:rsid w:val="00847188"/>
    <w:pPr>
      <w:numPr>
        <w:numId w:val="6"/>
      </w:numPr>
      <w:outlineLvl w:val="0"/>
    </w:pPr>
  </w:style>
  <w:style w:type="paragraph" w:styleId="Titre2">
    <w:name w:val="heading 2"/>
    <w:basedOn w:val="H2"/>
    <w:next w:val="Normal"/>
    <w:link w:val="Titre2Car"/>
    <w:uiPriority w:val="9"/>
    <w:unhideWhenUsed/>
    <w:qFormat/>
    <w:rsid w:val="00847188"/>
    <w:pPr>
      <w:numPr>
        <w:ilvl w:val="1"/>
        <w:numId w:val="6"/>
      </w:numPr>
      <w:outlineLvl w:val="1"/>
    </w:pPr>
  </w:style>
  <w:style w:type="paragraph" w:styleId="Titre3">
    <w:name w:val="heading 3"/>
    <w:basedOn w:val="Normal"/>
    <w:next w:val="Normal"/>
    <w:link w:val="Titre3Car"/>
    <w:uiPriority w:val="9"/>
    <w:semiHidden/>
    <w:unhideWhenUsed/>
    <w:qFormat/>
    <w:rsid w:val="00847188"/>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47188"/>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4718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4718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4718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4718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4718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64EF6"/>
    <w:pPr>
      <w:tabs>
        <w:tab w:val="left" w:pos="360"/>
      </w:tabs>
      <w:spacing w:after="80" w:line="260" w:lineRule="exact"/>
    </w:pPr>
    <w:rPr>
      <w:sz w:val="22"/>
      <w:szCs w:val="20"/>
    </w:rPr>
  </w:style>
  <w:style w:type="character" w:customStyle="1" w:styleId="NotedebasdepageCar">
    <w:name w:val="Note de bas de page Car"/>
    <w:basedOn w:val="Policepardfaut"/>
    <w:link w:val="Notedebasdepage"/>
    <w:uiPriority w:val="99"/>
    <w:rsid w:val="00C64EF6"/>
    <w:rPr>
      <w:rFonts w:ascii="Times New Roman" w:hAnsi="Times New Roman"/>
      <w:szCs w:val="20"/>
    </w:rPr>
  </w:style>
  <w:style w:type="character" w:styleId="Appelnotedebasdep">
    <w:name w:val="footnote reference"/>
    <w:basedOn w:val="Policepardfaut"/>
    <w:uiPriority w:val="99"/>
    <w:semiHidden/>
    <w:unhideWhenUsed/>
    <w:rsid w:val="008F6A62"/>
    <w:rPr>
      <w:vertAlign w:val="superscript"/>
    </w:rPr>
  </w:style>
  <w:style w:type="paragraph" w:styleId="Textedebulles">
    <w:name w:val="Balloon Text"/>
    <w:basedOn w:val="Normal"/>
    <w:link w:val="TextedebullesCar"/>
    <w:uiPriority w:val="99"/>
    <w:semiHidden/>
    <w:unhideWhenUsed/>
    <w:rsid w:val="00237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9DE"/>
    <w:rPr>
      <w:rFonts w:ascii="Tahoma" w:hAnsi="Tahoma" w:cs="Tahoma"/>
      <w:sz w:val="16"/>
      <w:szCs w:val="16"/>
    </w:rPr>
  </w:style>
  <w:style w:type="character" w:styleId="Marquedecommentaire">
    <w:name w:val="annotation reference"/>
    <w:basedOn w:val="Policepardfaut"/>
    <w:uiPriority w:val="99"/>
    <w:semiHidden/>
    <w:unhideWhenUsed/>
    <w:rsid w:val="002D25CA"/>
    <w:rPr>
      <w:sz w:val="16"/>
      <w:szCs w:val="16"/>
    </w:rPr>
  </w:style>
  <w:style w:type="paragraph" w:styleId="Commentaire">
    <w:name w:val="annotation text"/>
    <w:basedOn w:val="Normal"/>
    <w:link w:val="CommentaireCar"/>
    <w:uiPriority w:val="99"/>
    <w:semiHidden/>
    <w:unhideWhenUsed/>
    <w:rsid w:val="002D25CA"/>
    <w:pPr>
      <w:spacing w:line="240" w:lineRule="auto"/>
    </w:pPr>
    <w:rPr>
      <w:sz w:val="20"/>
      <w:szCs w:val="20"/>
    </w:rPr>
  </w:style>
  <w:style w:type="character" w:customStyle="1" w:styleId="CommentaireCar">
    <w:name w:val="Commentaire Car"/>
    <w:basedOn w:val="Policepardfaut"/>
    <w:link w:val="Commentaire"/>
    <w:uiPriority w:val="99"/>
    <w:semiHidden/>
    <w:rsid w:val="002D25CA"/>
    <w:rPr>
      <w:sz w:val="20"/>
      <w:szCs w:val="20"/>
    </w:rPr>
  </w:style>
  <w:style w:type="paragraph" w:styleId="Objetducommentaire">
    <w:name w:val="annotation subject"/>
    <w:basedOn w:val="Commentaire"/>
    <w:next w:val="Commentaire"/>
    <w:link w:val="ObjetducommentaireCar"/>
    <w:uiPriority w:val="99"/>
    <w:semiHidden/>
    <w:unhideWhenUsed/>
    <w:rsid w:val="002D25CA"/>
    <w:rPr>
      <w:b/>
      <w:bCs/>
    </w:rPr>
  </w:style>
  <w:style w:type="character" w:customStyle="1" w:styleId="ObjetducommentaireCar">
    <w:name w:val="Objet du commentaire Car"/>
    <w:basedOn w:val="CommentaireCar"/>
    <w:link w:val="Objetducommentaire"/>
    <w:uiPriority w:val="99"/>
    <w:semiHidden/>
    <w:rsid w:val="002D25CA"/>
    <w:rPr>
      <w:b/>
      <w:bCs/>
      <w:sz w:val="20"/>
      <w:szCs w:val="20"/>
    </w:rPr>
  </w:style>
  <w:style w:type="paragraph" w:customStyle="1" w:styleId="GLJFootnote">
    <w:name w:val="GLJ Footnote"/>
    <w:basedOn w:val="Notedebasdepage"/>
    <w:rsid w:val="00B11D8D"/>
    <w:pPr>
      <w:tabs>
        <w:tab w:val="left" w:pos="432"/>
      </w:tabs>
      <w:spacing w:before="240"/>
    </w:pPr>
    <w:rPr>
      <w:rFonts w:eastAsia="Times New Roman" w:cs="Times New Roman"/>
    </w:rPr>
  </w:style>
  <w:style w:type="paragraph" w:styleId="En-tte">
    <w:name w:val="header"/>
    <w:basedOn w:val="Normal"/>
    <w:link w:val="En-tteCar"/>
    <w:uiPriority w:val="99"/>
    <w:unhideWhenUsed/>
    <w:rsid w:val="002D01C9"/>
    <w:pPr>
      <w:tabs>
        <w:tab w:val="center" w:pos="4680"/>
        <w:tab w:val="right" w:pos="9360"/>
      </w:tabs>
      <w:spacing w:after="0" w:line="240" w:lineRule="auto"/>
    </w:pPr>
  </w:style>
  <w:style w:type="character" w:customStyle="1" w:styleId="En-tteCar">
    <w:name w:val="En-tête Car"/>
    <w:basedOn w:val="Policepardfaut"/>
    <w:link w:val="En-tte"/>
    <w:uiPriority w:val="99"/>
    <w:rsid w:val="002D01C9"/>
  </w:style>
  <w:style w:type="paragraph" w:styleId="Pieddepage">
    <w:name w:val="footer"/>
    <w:basedOn w:val="Normal"/>
    <w:link w:val="PieddepageCar"/>
    <w:uiPriority w:val="99"/>
    <w:unhideWhenUsed/>
    <w:rsid w:val="002D01C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D01C9"/>
  </w:style>
  <w:style w:type="paragraph" w:styleId="Pardeliste">
    <w:name w:val="List Paragraph"/>
    <w:basedOn w:val="Normal"/>
    <w:link w:val="PardelisteCar"/>
    <w:uiPriority w:val="34"/>
    <w:qFormat/>
    <w:rsid w:val="0086364A"/>
    <w:pPr>
      <w:ind w:left="720"/>
      <w:contextualSpacing/>
    </w:pPr>
  </w:style>
  <w:style w:type="paragraph" w:styleId="Textebrut">
    <w:name w:val="Plain Text"/>
    <w:basedOn w:val="Normal"/>
    <w:link w:val="TextebrutCar"/>
    <w:uiPriority w:val="99"/>
    <w:semiHidden/>
    <w:unhideWhenUsed/>
    <w:rsid w:val="002A4697"/>
    <w:pPr>
      <w:spacing w:after="0" w:line="240" w:lineRule="auto"/>
      <w:jc w:val="left"/>
    </w:pPr>
    <w:rPr>
      <w:rFonts w:ascii="Consolas" w:hAnsi="Consolas" w:cs="Consolas"/>
      <w:sz w:val="21"/>
      <w:szCs w:val="21"/>
    </w:rPr>
  </w:style>
  <w:style w:type="character" w:customStyle="1" w:styleId="TextebrutCar">
    <w:name w:val="Texte brut Car"/>
    <w:basedOn w:val="Policepardfaut"/>
    <w:link w:val="Textebrut"/>
    <w:uiPriority w:val="99"/>
    <w:semiHidden/>
    <w:rsid w:val="002A4697"/>
    <w:rPr>
      <w:rFonts w:ascii="Consolas" w:hAnsi="Consolas" w:cs="Consolas"/>
      <w:sz w:val="21"/>
      <w:szCs w:val="21"/>
    </w:rPr>
  </w:style>
  <w:style w:type="character" w:customStyle="1" w:styleId="searchterm">
    <w:name w:val="searchterm"/>
    <w:basedOn w:val="Policepardfaut"/>
    <w:rsid w:val="007C0A86"/>
  </w:style>
  <w:style w:type="character" w:styleId="Lienhypertexte">
    <w:name w:val="Hyperlink"/>
    <w:basedOn w:val="Policepardfaut"/>
    <w:uiPriority w:val="99"/>
    <w:unhideWhenUsed/>
    <w:rsid w:val="007C0A86"/>
    <w:rPr>
      <w:color w:val="0000FF"/>
      <w:u w:val="single"/>
    </w:rPr>
  </w:style>
  <w:style w:type="paragraph" w:customStyle="1" w:styleId="FootNote">
    <w:name w:val="_FootNote"/>
    <w:basedOn w:val="Normal"/>
    <w:qFormat/>
    <w:rsid w:val="004D0000"/>
    <w:pPr>
      <w:suppressLineNumbers/>
      <w:tabs>
        <w:tab w:val="right" w:pos="280"/>
        <w:tab w:val="left" w:pos="520"/>
      </w:tabs>
      <w:overflowPunct w:val="0"/>
      <w:autoSpaceDE w:val="0"/>
      <w:autoSpaceDN w:val="0"/>
      <w:adjustRightInd w:val="0"/>
      <w:spacing w:before="20" w:after="0" w:line="190" w:lineRule="exact"/>
      <w:textAlignment w:val="baseline"/>
    </w:pPr>
    <w:rPr>
      <w:rFonts w:eastAsia="Times New Roman" w:cs="Times New Roman"/>
      <w:sz w:val="16"/>
      <w:szCs w:val="24"/>
    </w:rPr>
  </w:style>
  <w:style w:type="paragraph" w:customStyle="1" w:styleId="BlockQuote">
    <w:name w:val="Block Quote"/>
    <w:basedOn w:val="Normal"/>
    <w:link w:val="BlockQuoteChar"/>
    <w:qFormat/>
    <w:rsid w:val="005E3EEF"/>
    <w:pPr>
      <w:ind w:left="720" w:right="720"/>
    </w:pPr>
    <w:rPr>
      <w:rFonts w:cs="Times New Roman"/>
      <w:szCs w:val="24"/>
    </w:rPr>
  </w:style>
  <w:style w:type="character" w:customStyle="1" w:styleId="BlockQuoteChar">
    <w:name w:val="Block Quote Char"/>
    <w:basedOn w:val="Policepardfaut"/>
    <w:link w:val="BlockQuote"/>
    <w:rsid w:val="005E3EEF"/>
    <w:rPr>
      <w:rFonts w:ascii="Times New Roman" w:hAnsi="Times New Roman" w:cs="Times New Roman"/>
      <w:sz w:val="24"/>
      <w:szCs w:val="24"/>
    </w:rPr>
  </w:style>
  <w:style w:type="paragraph" w:customStyle="1" w:styleId="NoNumbHeading1">
    <w:name w:val="No Numb Heading 1"/>
    <w:basedOn w:val="Normal"/>
    <w:link w:val="NoNumbHeading1Char"/>
    <w:qFormat/>
    <w:rsid w:val="00162C10"/>
    <w:pPr>
      <w:jc w:val="center"/>
    </w:pPr>
    <w:rPr>
      <w:rFonts w:cs="Times New Roman"/>
      <w:smallCaps/>
      <w:szCs w:val="24"/>
    </w:rPr>
  </w:style>
  <w:style w:type="paragraph" w:customStyle="1" w:styleId="H1">
    <w:name w:val="H1"/>
    <w:basedOn w:val="Pardeliste"/>
    <w:link w:val="H1Char"/>
    <w:qFormat/>
    <w:rsid w:val="00162C10"/>
    <w:pPr>
      <w:keepNext/>
      <w:numPr>
        <w:numId w:val="4"/>
      </w:numPr>
    </w:pPr>
    <w:rPr>
      <w:rFonts w:cs="Times New Roman"/>
      <w:smallCaps/>
      <w:szCs w:val="24"/>
    </w:rPr>
  </w:style>
  <w:style w:type="character" w:customStyle="1" w:styleId="NoNumbHeading1Char">
    <w:name w:val="No Numb Heading 1 Char"/>
    <w:basedOn w:val="Policepardfaut"/>
    <w:link w:val="NoNumbHeading1"/>
    <w:rsid w:val="00162C10"/>
    <w:rPr>
      <w:rFonts w:ascii="Times New Roman" w:hAnsi="Times New Roman" w:cs="Times New Roman"/>
      <w:smallCaps/>
      <w:sz w:val="24"/>
      <w:szCs w:val="24"/>
    </w:rPr>
  </w:style>
  <w:style w:type="paragraph" w:customStyle="1" w:styleId="H2">
    <w:name w:val="H2"/>
    <w:basedOn w:val="Pardeliste"/>
    <w:link w:val="H2Char"/>
    <w:qFormat/>
    <w:rsid w:val="00847188"/>
    <w:pPr>
      <w:keepNext/>
      <w:ind w:left="0"/>
    </w:pPr>
    <w:rPr>
      <w:rFonts w:cs="Times New Roman"/>
      <w:szCs w:val="24"/>
    </w:rPr>
  </w:style>
  <w:style w:type="character" w:customStyle="1" w:styleId="PardelisteCar">
    <w:name w:val="Par. de liste Car"/>
    <w:basedOn w:val="Policepardfaut"/>
    <w:link w:val="Pardeliste"/>
    <w:uiPriority w:val="34"/>
    <w:rsid w:val="00162C10"/>
    <w:rPr>
      <w:rFonts w:ascii="Times New Roman" w:hAnsi="Times New Roman"/>
      <w:sz w:val="24"/>
    </w:rPr>
  </w:style>
  <w:style w:type="character" w:customStyle="1" w:styleId="H1Char">
    <w:name w:val="H1 Char"/>
    <w:basedOn w:val="PardelisteCar"/>
    <w:link w:val="H1"/>
    <w:rsid w:val="00162C10"/>
    <w:rPr>
      <w:rFonts w:ascii="Times New Roman" w:hAnsi="Times New Roman" w:cs="Times New Roman"/>
      <w:smallCaps/>
      <w:sz w:val="24"/>
      <w:szCs w:val="24"/>
    </w:rPr>
  </w:style>
  <w:style w:type="character" w:customStyle="1" w:styleId="Titre1Car">
    <w:name w:val="Titre 1 Car"/>
    <w:basedOn w:val="Policepardfaut"/>
    <w:link w:val="Titre1"/>
    <w:uiPriority w:val="9"/>
    <w:rsid w:val="00847188"/>
    <w:rPr>
      <w:rFonts w:ascii="Times New Roman" w:hAnsi="Times New Roman" w:cs="Times New Roman"/>
      <w:smallCaps/>
      <w:sz w:val="24"/>
      <w:szCs w:val="24"/>
    </w:rPr>
  </w:style>
  <w:style w:type="character" w:customStyle="1" w:styleId="H2Char">
    <w:name w:val="H2 Char"/>
    <w:basedOn w:val="PardelisteCar"/>
    <w:link w:val="H2"/>
    <w:rsid w:val="00847188"/>
    <w:rPr>
      <w:rFonts w:ascii="Times New Roman" w:hAnsi="Times New Roman" w:cs="Times New Roman"/>
      <w:sz w:val="24"/>
      <w:szCs w:val="24"/>
    </w:rPr>
  </w:style>
  <w:style w:type="character" w:customStyle="1" w:styleId="Titre2Car">
    <w:name w:val="Titre 2 Car"/>
    <w:basedOn w:val="Policepardfaut"/>
    <w:link w:val="Titre2"/>
    <w:uiPriority w:val="9"/>
    <w:rsid w:val="00847188"/>
    <w:rPr>
      <w:rFonts w:ascii="Times New Roman" w:hAnsi="Times New Roman" w:cs="Times New Roman"/>
      <w:sz w:val="24"/>
      <w:szCs w:val="24"/>
    </w:rPr>
  </w:style>
  <w:style w:type="character" w:customStyle="1" w:styleId="Titre3Car">
    <w:name w:val="Titre 3 Car"/>
    <w:basedOn w:val="Policepardfaut"/>
    <w:link w:val="Titre3"/>
    <w:uiPriority w:val="9"/>
    <w:semiHidden/>
    <w:rsid w:val="00847188"/>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847188"/>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847188"/>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847188"/>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847188"/>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84718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47188"/>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991D38"/>
    <w:pPr>
      <w:tabs>
        <w:tab w:val="left" w:pos="450"/>
        <w:tab w:val="right" w:leader="dot" w:pos="8630"/>
      </w:tabs>
      <w:spacing w:after="100"/>
    </w:pPr>
  </w:style>
  <w:style w:type="paragraph" w:styleId="TM2">
    <w:name w:val="toc 2"/>
    <w:basedOn w:val="Normal"/>
    <w:next w:val="Normal"/>
    <w:autoRedefine/>
    <w:uiPriority w:val="39"/>
    <w:unhideWhenUsed/>
    <w:rsid w:val="00991D38"/>
    <w:pPr>
      <w:tabs>
        <w:tab w:val="left" w:pos="880"/>
        <w:tab w:val="right" w:leader="dot" w:pos="8630"/>
      </w:tabs>
      <w:spacing w:after="100"/>
      <w:ind w:left="90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8A3E7-54AD-7240-88B5-386D8083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6375</Words>
  <Characters>37167</Characters>
  <Application>Microsoft Macintosh Word</Application>
  <DocSecurity>0</DocSecurity>
  <Lines>1281</Lines>
  <Paragraphs>691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shls</dc:creator>
  <cp:lastModifiedBy>Utilisateur de Microsoft Office</cp:lastModifiedBy>
  <cp:revision>2</cp:revision>
  <dcterms:created xsi:type="dcterms:W3CDTF">2016-03-02T23:20:00Z</dcterms:created>
  <dcterms:modified xsi:type="dcterms:W3CDTF">2016-03-02T23:20:00Z</dcterms:modified>
</cp:coreProperties>
</file>